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5A6FE" w14:textId="25D45266" w:rsidR="004501C0" w:rsidRPr="000937FC" w:rsidRDefault="00810896" w:rsidP="00AD5094">
      <w:pPr>
        <w:spacing w:line="360" w:lineRule="auto"/>
        <w:jc w:val="center"/>
        <w:rPr>
          <w:rFonts w:ascii="Arial" w:hAnsi="Arial" w:cs="Arial"/>
        </w:rPr>
      </w:pPr>
      <w:bookmarkStart w:id="0" w:name="_Hlk485822387"/>
      <w:bookmarkEnd w:id="0"/>
      <w:r w:rsidRPr="000937FC">
        <w:rPr>
          <w:rFonts w:ascii="Arial" w:hAnsi="Arial" w:cs="Arial"/>
          <w:noProof/>
          <w:lang w:eastAsia="en-GB"/>
        </w:rPr>
        <w:drawing>
          <wp:inline distT="0" distB="0" distL="0" distR="0" wp14:anchorId="7E51A557" wp14:editId="07777777">
            <wp:extent cx="3006725" cy="1211580"/>
            <wp:effectExtent l="0" t="0" r="0" b="0"/>
            <wp:docPr id="1" name="Picture 1" descr="lion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logo smal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6725" cy="1211580"/>
                    </a:xfrm>
                    <a:prstGeom prst="rect">
                      <a:avLst/>
                    </a:prstGeom>
                    <a:noFill/>
                    <a:ln>
                      <a:noFill/>
                    </a:ln>
                  </pic:spPr>
                </pic:pic>
              </a:graphicData>
            </a:graphic>
          </wp:inline>
        </w:drawing>
      </w:r>
      <w:r w:rsidR="00AD5094" w:rsidRPr="00AD5094">
        <w:t xml:space="preserve"> </w:t>
      </w:r>
      <w:r w:rsidR="00AD5094">
        <w:t xml:space="preserve">                 </w:t>
      </w:r>
      <w:r w:rsidR="00AD5094">
        <w:rPr>
          <w:noProof/>
        </w:rPr>
        <w:t xml:space="preserve">    </w:t>
      </w:r>
      <w:r w:rsidR="00AD5094">
        <w:rPr>
          <w:noProof/>
        </w:rPr>
        <w:drawing>
          <wp:inline distT="0" distB="0" distL="0" distR="0" wp14:anchorId="056A2B01" wp14:editId="54FE99CE">
            <wp:extent cx="1866900" cy="1888937"/>
            <wp:effectExtent l="0" t="0" r="0" b="0"/>
            <wp:docPr id="2" name="Picture 2" descr="C:\Users\Jez\AppData\Local\Microsoft\Windows\INetCache\Content.Word\UoL-logo-general-use-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z\AppData\Local\Microsoft\Windows\INetCache\Content.Word\UoL-logo-general-use-white-backgroun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5284" cy="1897420"/>
                    </a:xfrm>
                    <a:prstGeom prst="rect">
                      <a:avLst/>
                    </a:prstGeom>
                    <a:noFill/>
                    <a:ln>
                      <a:noFill/>
                    </a:ln>
                  </pic:spPr>
                </pic:pic>
              </a:graphicData>
            </a:graphic>
          </wp:inline>
        </w:drawing>
      </w:r>
    </w:p>
    <w:p w14:paraId="66DB2900" w14:textId="77777777" w:rsidR="00751555" w:rsidRDefault="00751555" w:rsidP="2EDB396D">
      <w:pPr>
        <w:spacing w:line="360" w:lineRule="auto"/>
        <w:rPr>
          <w:rFonts w:ascii="Arial" w:hAnsi="Arial" w:cs="Arial"/>
          <w:b/>
          <w:bCs/>
        </w:rPr>
      </w:pPr>
    </w:p>
    <w:p w14:paraId="5756728E" w14:textId="045C5FFD" w:rsidR="004501C0" w:rsidRPr="000937FC" w:rsidRDefault="2EDB396D" w:rsidP="2EDB396D">
      <w:pPr>
        <w:spacing w:line="360" w:lineRule="auto"/>
        <w:rPr>
          <w:rFonts w:ascii="Arial" w:hAnsi="Arial" w:cs="Arial"/>
          <w:b/>
          <w:bCs/>
        </w:rPr>
      </w:pPr>
      <w:r w:rsidRPr="2EDB396D">
        <w:rPr>
          <w:rFonts w:ascii="Arial" w:hAnsi="Arial" w:cs="Arial"/>
          <w:b/>
          <w:bCs/>
        </w:rPr>
        <w:t>News release</w:t>
      </w:r>
    </w:p>
    <w:p w14:paraId="7548F1FE" w14:textId="77777777" w:rsidR="008B7792" w:rsidRPr="000937FC" w:rsidRDefault="008B7792" w:rsidP="002A2AD8">
      <w:pPr>
        <w:spacing w:line="360" w:lineRule="auto"/>
        <w:rPr>
          <w:rFonts w:ascii="Arial" w:hAnsi="Arial" w:cs="Arial"/>
          <w:b/>
        </w:rPr>
      </w:pPr>
    </w:p>
    <w:p w14:paraId="368AF171" w14:textId="26597C0E" w:rsidR="00E16B31" w:rsidRDefault="00E851AB" w:rsidP="00EE32C0">
      <w:pPr>
        <w:spacing w:line="360" w:lineRule="auto"/>
        <w:rPr>
          <w:rFonts w:ascii="Arial" w:hAnsi="Arial" w:cs="Arial"/>
        </w:rPr>
      </w:pPr>
      <w:bookmarkStart w:id="1" w:name="_GoBack"/>
      <w:r>
        <w:rPr>
          <w:rFonts w:ascii="Arial" w:hAnsi="Arial" w:cs="Arial"/>
        </w:rPr>
        <w:t>21</w:t>
      </w:r>
      <w:r w:rsidRPr="00E851AB">
        <w:rPr>
          <w:rFonts w:ascii="Arial" w:hAnsi="Arial" w:cs="Arial"/>
          <w:vertAlign w:val="superscript"/>
        </w:rPr>
        <w:t>st</w:t>
      </w:r>
      <w:r>
        <w:rPr>
          <w:rFonts w:ascii="Arial" w:hAnsi="Arial" w:cs="Arial"/>
        </w:rPr>
        <w:t xml:space="preserve"> June 2017</w:t>
      </w:r>
    </w:p>
    <w:p w14:paraId="03C67B9F" w14:textId="77777777" w:rsidR="00EE32C0" w:rsidRPr="00E851AB" w:rsidRDefault="00EE32C0" w:rsidP="00E851AB">
      <w:pPr>
        <w:spacing w:line="360" w:lineRule="auto"/>
        <w:rPr>
          <w:rFonts w:ascii="Arial" w:hAnsi="Arial" w:cs="Arial"/>
        </w:rPr>
      </w:pPr>
    </w:p>
    <w:p w14:paraId="7620D947" w14:textId="37EE12D2" w:rsidR="00E851AB" w:rsidRPr="008A6C63" w:rsidRDefault="00E851AB" w:rsidP="00E851AB">
      <w:pPr>
        <w:spacing w:line="360" w:lineRule="auto"/>
        <w:jc w:val="center"/>
        <w:rPr>
          <w:rFonts w:ascii="Arial" w:hAnsi="Arial" w:cs="Arial"/>
          <w:b/>
          <w:bCs/>
          <w:sz w:val="28"/>
          <w:szCs w:val="28"/>
        </w:rPr>
      </w:pPr>
      <w:r w:rsidRPr="008A6C63">
        <w:rPr>
          <w:rFonts w:ascii="Arial" w:hAnsi="Arial" w:cs="Arial"/>
          <w:b/>
          <w:bCs/>
          <w:sz w:val="28"/>
          <w:szCs w:val="28"/>
        </w:rPr>
        <w:t>Double Gold for Lincolnshire’s Two Universities in</w:t>
      </w:r>
    </w:p>
    <w:p w14:paraId="498DC2CF" w14:textId="0594509A" w:rsidR="00E851AB" w:rsidRPr="008A6C63" w:rsidRDefault="00E851AB" w:rsidP="00E851AB">
      <w:pPr>
        <w:spacing w:line="360" w:lineRule="auto"/>
        <w:jc w:val="center"/>
        <w:rPr>
          <w:rFonts w:ascii="Arial" w:hAnsi="Arial" w:cs="Arial"/>
          <w:b/>
          <w:bCs/>
          <w:sz w:val="28"/>
          <w:szCs w:val="28"/>
        </w:rPr>
      </w:pPr>
      <w:r w:rsidRPr="008A6C63">
        <w:rPr>
          <w:rFonts w:ascii="Arial" w:hAnsi="Arial" w:cs="Arial"/>
          <w:b/>
          <w:bCs/>
          <w:sz w:val="28"/>
          <w:szCs w:val="28"/>
        </w:rPr>
        <w:t>National Teaching Quality Assessment</w:t>
      </w:r>
    </w:p>
    <w:p w14:paraId="25E4DE77" w14:textId="58374FC0" w:rsidR="00E851AB" w:rsidRDefault="00E851AB" w:rsidP="00E851AB">
      <w:pPr>
        <w:spacing w:line="360" w:lineRule="auto"/>
        <w:jc w:val="center"/>
        <w:rPr>
          <w:rFonts w:ascii="Arial" w:hAnsi="Arial" w:cs="Arial"/>
          <w:b/>
          <w:bCs/>
          <w:sz w:val="24"/>
          <w:szCs w:val="24"/>
        </w:rPr>
      </w:pPr>
    </w:p>
    <w:p w14:paraId="5CFB4E64" w14:textId="3C875017" w:rsidR="00E851AB" w:rsidRPr="00E851AB" w:rsidRDefault="00E851AB" w:rsidP="00E851AB">
      <w:pPr>
        <w:spacing w:line="360" w:lineRule="auto"/>
        <w:jc w:val="center"/>
        <w:rPr>
          <w:rFonts w:ascii="Arial" w:hAnsi="Arial" w:cs="Arial"/>
          <w:b/>
          <w:bCs/>
          <w:color w:val="FF0000"/>
          <w:sz w:val="24"/>
          <w:szCs w:val="24"/>
        </w:rPr>
      </w:pPr>
      <w:r w:rsidRPr="00E851AB">
        <w:rPr>
          <w:rFonts w:ascii="Arial" w:hAnsi="Arial" w:cs="Arial"/>
          <w:b/>
          <w:bCs/>
          <w:color w:val="FF0000"/>
          <w:sz w:val="24"/>
          <w:szCs w:val="24"/>
        </w:rPr>
        <w:t>Strictly embargoed until 00:01 on Thursday 22</w:t>
      </w:r>
      <w:r w:rsidRPr="00E851AB">
        <w:rPr>
          <w:rFonts w:ascii="Arial" w:hAnsi="Arial" w:cs="Arial"/>
          <w:b/>
          <w:bCs/>
          <w:color w:val="FF0000"/>
          <w:sz w:val="24"/>
          <w:szCs w:val="24"/>
          <w:vertAlign w:val="superscript"/>
        </w:rPr>
        <w:t>nd</w:t>
      </w:r>
      <w:r w:rsidRPr="00E851AB">
        <w:rPr>
          <w:rFonts w:ascii="Arial" w:hAnsi="Arial" w:cs="Arial"/>
          <w:b/>
          <w:bCs/>
          <w:color w:val="FF0000"/>
          <w:sz w:val="24"/>
          <w:szCs w:val="24"/>
        </w:rPr>
        <w:t xml:space="preserve"> June 2017</w:t>
      </w:r>
    </w:p>
    <w:p w14:paraId="5E776506" w14:textId="77777777" w:rsidR="00E851AB" w:rsidRPr="00E851AB" w:rsidRDefault="00E851AB" w:rsidP="00E851AB">
      <w:pPr>
        <w:spacing w:line="360" w:lineRule="auto"/>
        <w:rPr>
          <w:rFonts w:ascii="Arial" w:hAnsi="Arial" w:cs="Arial"/>
        </w:rPr>
      </w:pPr>
    </w:p>
    <w:p w14:paraId="2970F0F5" w14:textId="77777777" w:rsidR="00E851AB" w:rsidRPr="00F70FE5" w:rsidRDefault="00E851AB" w:rsidP="00E851AB">
      <w:pPr>
        <w:spacing w:line="360" w:lineRule="auto"/>
        <w:rPr>
          <w:rFonts w:ascii="Arial" w:hAnsi="Arial" w:cs="Arial"/>
          <w:b/>
        </w:rPr>
      </w:pPr>
      <w:r w:rsidRPr="00F70FE5">
        <w:rPr>
          <w:rFonts w:ascii="Arial" w:hAnsi="Arial" w:cs="Arial"/>
          <w:b/>
        </w:rPr>
        <w:t xml:space="preserve">Lincolnshire's two universities have both been given the highest rating possible in a new national assessment of the quality of teaching, learning and student achievement in UK higher education. </w:t>
      </w:r>
    </w:p>
    <w:p w14:paraId="4D072E37" w14:textId="77777777" w:rsidR="00E851AB" w:rsidRDefault="00E851AB" w:rsidP="00E851AB">
      <w:pPr>
        <w:spacing w:line="360" w:lineRule="auto"/>
        <w:rPr>
          <w:rFonts w:ascii="Arial" w:hAnsi="Arial" w:cs="Arial"/>
          <w:b/>
        </w:rPr>
      </w:pPr>
    </w:p>
    <w:p w14:paraId="256B919D" w14:textId="13012101" w:rsidR="00E851AB" w:rsidRPr="00E851AB" w:rsidRDefault="00E851AB" w:rsidP="00E851AB">
      <w:pPr>
        <w:spacing w:line="360" w:lineRule="auto"/>
        <w:rPr>
          <w:rFonts w:ascii="Arial" w:hAnsi="Arial" w:cs="Arial"/>
          <w:b/>
        </w:rPr>
      </w:pPr>
      <w:r w:rsidRPr="00E851AB">
        <w:rPr>
          <w:rFonts w:ascii="Arial" w:hAnsi="Arial" w:cs="Arial"/>
          <w:b/>
        </w:rPr>
        <w:t xml:space="preserve">Both </w:t>
      </w:r>
      <w:hyperlink r:id="rId13" w:history="1">
        <w:r w:rsidRPr="00E851AB">
          <w:rPr>
            <w:rStyle w:val="Hyperlink"/>
            <w:rFonts w:ascii="Arial" w:hAnsi="Arial" w:cs="Arial"/>
            <w:b/>
          </w:rPr>
          <w:t>Bishop Grosseteste University</w:t>
        </w:r>
      </w:hyperlink>
      <w:r w:rsidRPr="00E851AB">
        <w:rPr>
          <w:rFonts w:ascii="Arial" w:hAnsi="Arial" w:cs="Arial"/>
          <w:b/>
        </w:rPr>
        <w:t xml:space="preserve"> and the </w:t>
      </w:r>
      <w:hyperlink r:id="rId14" w:history="1">
        <w:r w:rsidRPr="00E851AB">
          <w:rPr>
            <w:rStyle w:val="Hyperlink"/>
            <w:rFonts w:ascii="Arial" w:hAnsi="Arial" w:cs="Arial"/>
            <w:b/>
          </w:rPr>
          <w:t>University of Lincoln</w:t>
        </w:r>
      </w:hyperlink>
      <w:r w:rsidRPr="00E851AB">
        <w:rPr>
          <w:rFonts w:ascii="Arial" w:hAnsi="Arial" w:cs="Arial"/>
          <w:b/>
        </w:rPr>
        <w:t xml:space="preserve"> were awarded a Gold rating by a panel of independent experts in the Teaching Excellence Framework (TEF). </w:t>
      </w:r>
    </w:p>
    <w:p w14:paraId="2ABE063C" w14:textId="77777777" w:rsidR="00E851AB" w:rsidRPr="00E851AB" w:rsidRDefault="00E851AB" w:rsidP="00E851AB">
      <w:pPr>
        <w:spacing w:line="360" w:lineRule="auto"/>
        <w:rPr>
          <w:rFonts w:ascii="Arial" w:hAnsi="Arial" w:cs="Arial"/>
        </w:rPr>
      </w:pPr>
    </w:p>
    <w:p w14:paraId="5701E93D" w14:textId="77777777" w:rsidR="00E851AB" w:rsidRPr="00E851AB" w:rsidRDefault="00E851AB" w:rsidP="00E851AB">
      <w:pPr>
        <w:spacing w:line="360" w:lineRule="auto"/>
        <w:rPr>
          <w:rFonts w:ascii="Arial" w:hAnsi="Arial" w:cs="Arial"/>
        </w:rPr>
      </w:pPr>
      <w:r w:rsidRPr="00E851AB">
        <w:rPr>
          <w:rFonts w:ascii="Arial" w:hAnsi="Arial" w:cs="Arial"/>
        </w:rPr>
        <w:t>The TEF was introduced by the Government to build a new picture of excellence in teaching and learning in UK’s world-class higher education sector. Local business leaders have today welcomed the Gold awards for the county’s two universities.</w:t>
      </w:r>
    </w:p>
    <w:p w14:paraId="7F5DA0E6" w14:textId="77777777" w:rsidR="00E851AB" w:rsidRPr="00E851AB" w:rsidRDefault="00E851AB" w:rsidP="00E851AB">
      <w:pPr>
        <w:spacing w:line="360" w:lineRule="auto"/>
        <w:rPr>
          <w:rFonts w:ascii="Arial" w:hAnsi="Arial" w:cs="Arial"/>
        </w:rPr>
      </w:pPr>
    </w:p>
    <w:p w14:paraId="4550795C" w14:textId="5A5EE3A8" w:rsidR="00E851AB" w:rsidRDefault="00E851AB" w:rsidP="00E851AB">
      <w:pPr>
        <w:spacing w:line="360" w:lineRule="auto"/>
        <w:rPr>
          <w:rFonts w:ascii="Arial" w:hAnsi="Arial" w:cs="Arial"/>
        </w:rPr>
      </w:pPr>
      <w:r w:rsidRPr="00E851AB">
        <w:rPr>
          <w:rFonts w:ascii="Arial" w:hAnsi="Arial" w:cs="Arial"/>
        </w:rPr>
        <w:t>Ursula Lidbetter MBE, Chair of the Greater Lincolnshire Local Enterprise Partnership, stated</w:t>
      </w:r>
      <w:r>
        <w:rPr>
          <w:rFonts w:ascii="Arial" w:hAnsi="Arial" w:cs="Arial"/>
        </w:rPr>
        <w:t>:</w:t>
      </w:r>
      <w:r w:rsidRPr="00E851AB">
        <w:rPr>
          <w:rFonts w:ascii="Arial" w:hAnsi="Arial" w:cs="Arial"/>
        </w:rPr>
        <w:t xml:space="preserve"> </w:t>
      </w:r>
      <w:r>
        <w:rPr>
          <w:rFonts w:ascii="Arial" w:hAnsi="Arial" w:cs="Arial"/>
        </w:rPr>
        <w:t>“</w:t>
      </w:r>
      <w:r w:rsidRPr="00E851AB">
        <w:rPr>
          <w:rFonts w:ascii="Arial" w:hAnsi="Arial" w:cs="Arial"/>
        </w:rPr>
        <w:t xml:space="preserve">To have both universities in the county rated as gold is truly outstanding and an indication of the quality of experience students can expect when coming to study in Lincolnshire. </w:t>
      </w:r>
    </w:p>
    <w:p w14:paraId="0726353C" w14:textId="77777777" w:rsidR="00E851AB" w:rsidRDefault="00E851AB" w:rsidP="00E851AB">
      <w:pPr>
        <w:spacing w:line="360" w:lineRule="auto"/>
        <w:rPr>
          <w:rFonts w:ascii="Arial" w:hAnsi="Arial" w:cs="Arial"/>
        </w:rPr>
      </w:pPr>
    </w:p>
    <w:p w14:paraId="45F28C4B" w14:textId="47228514" w:rsidR="00E851AB" w:rsidRPr="00E851AB" w:rsidRDefault="00E851AB" w:rsidP="00E851AB">
      <w:pPr>
        <w:spacing w:line="360" w:lineRule="auto"/>
        <w:rPr>
          <w:rFonts w:ascii="Arial" w:hAnsi="Arial" w:cs="Arial"/>
        </w:rPr>
      </w:pPr>
      <w:r>
        <w:rPr>
          <w:rFonts w:ascii="Arial" w:hAnsi="Arial" w:cs="Arial"/>
        </w:rPr>
        <w:t>“</w:t>
      </w:r>
      <w:r w:rsidRPr="00E851AB">
        <w:rPr>
          <w:rFonts w:ascii="Arial" w:hAnsi="Arial" w:cs="Arial"/>
        </w:rPr>
        <w:t>I'd like to commend both institutions for their dedication to ensuring that students receive a first class education and the contribution each institution makes to improving the life chances of our young people and the eco</w:t>
      </w:r>
      <w:r>
        <w:rPr>
          <w:rFonts w:ascii="Arial" w:hAnsi="Arial" w:cs="Arial"/>
        </w:rPr>
        <w:t>nomic prosperity of the county.”</w:t>
      </w:r>
    </w:p>
    <w:p w14:paraId="04FCF317" w14:textId="77777777" w:rsidR="00E851AB" w:rsidRPr="00E851AB" w:rsidRDefault="00E851AB" w:rsidP="00E851AB">
      <w:pPr>
        <w:spacing w:line="360" w:lineRule="auto"/>
        <w:rPr>
          <w:rFonts w:ascii="Arial" w:hAnsi="Arial" w:cs="Arial"/>
        </w:rPr>
      </w:pPr>
    </w:p>
    <w:p w14:paraId="770664A9" w14:textId="77777777" w:rsidR="00E851AB" w:rsidRPr="00E851AB" w:rsidRDefault="00E851AB" w:rsidP="00E851AB">
      <w:pPr>
        <w:spacing w:line="360" w:lineRule="auto"/>
        <w:rPr>
          <w:rFonts w:ascii="Arial" w:hAnsi="Arial" w:cs="Arial"/>
          <w:b/>
          <w:bCs/>
        </w:rPr>
      </w:pPr>
      <w:r w:rsidRPr="00E851AB">
        <w:rPr>
          <w:rFonts w:ascii="Arial" w:hAnsi="Arial" w:cs="Arial"/>
        </w:rPr>
        <w:t xml:space="preserve">Lincolnshire's two universities are among only 26% of higher education providers from across the whole of the UK to be awarded a Gold rating. </w:t>
      </w:r>
    </w:p>
    <w:p w14:paraId="4B50A726" w14:textId="77777777" w:rsidR="00E851AB" w:rsidRPr="00E851AB" w:rsidRDefault="00E851AB" w:rsidP="00E851AB">
      <w:pPr>
        <w:spacing w:line="360" w:lineRule="auto"/>
        <w:rPr>
          <w:rFonts w:ascii="Arial" w:hAnsi="Arial" w:cs="Arial"/>
        </w:rPr>
      </w:pPr>
    </w:p>
    <w:p w14:paraId="15B94DA6" w14:textId="77777777" w:rsidR="00E851AB" w:rsidRDefault="00E851AB" w:rsidP="00E851AB">
      <w:pPr>
        <w:spacing w:line="360" w:lineRule="auto"/>
        <w:rPr>
          <w:rFonts w:ascii="Arial" w:hAnsi="Arial" w:cs="Arial"/>
        </w:rPr>
      </w:pPr>
      <w:r w:rsidRPr="00E851AB">
        <w:rPr>
          <w:rFonts w:ascii="Arial" w:hAnsi="Arial" w:cs="Arial"/>
        </w:rPr>
        <w:t xml:space="preserve">The TEF Panel judged that both Bishop Grosseteste University and the University of Lincoln deliver consistently outstanding teaching, learning and outcomes for students. In their written summaries, they said the University of Lincoln showed “a comprehensive and embedded approach to student engagement that provides opportunities for students and staff to work closely together” and commended </w:t>
      </w:r>
      <w:r>
        <w:rPr>
          <w:rFonts w:ascii="Arial" w:hAnsi="Arial" w:cs="Arial"/>
        </w:rPr>
        <w:t xml:space="preserve">on </w:t>
      </w:r>
      <w:r w:rsidRPr="00E851AB">
        <w:rPr>
          <w:rFonts w:ascii="Arial" w:hAnsi="Arial" w:cs="Arial"/>
        </w:rPr>
        <w:t xml:space="preserve">the “outstanding physical and digital resources which pervade all aspects of student experience, including state-of-the-art teaching spaces”. </w:t>
      </w:r>
    </w:p>
    <w:p w14:paraId="5AFF6611" w14:textId="77777777" w:rsidR="00E851AB" w:rsidRDefault="00E851AB" w:rsidP="00E851AB">
      <w:pPr>
        <w:spacing w:line="360" w:lineRule="auto"/>
        <w:rPr>
          <w:rFonts w:ascii="Arial" w:hAnsi="Arial" w:cs="Arial"/>
        </w:rPr>
      </w:pPr>
    </w:p>
    <w:p w14:paraId="70292B1A" w14:textId="19EF99F2" w:rsidR="00E851AB" w:rsidRPr="00E851AB" w:rsidRDefault="00E851AB" w:rsidP="00E851AB">
      <w:pPr>
        <w:spacing w:line="360" w:lineRule="auto"/>
        <w:rPr>
          <w:rFonts w:ascii="Arial" w:hAnsi="Arial" w:cs="Arial"/>
        </w:rPr>
      </w:pPr>
      <w:r w:rsidRPr="00E851AB">
        <w:rPr>
          <w:rFonts w:ascii="Arial" w:hAnsi="Arial" w:cs="Arial"/>
        </w:rPr>
        <w:t>The Panel praised BGU as a university where "employability and enterprise skills are embedded throughout the student experience</w:t>
      </w:r>
      <w:r>
        <w:rPr>
          <w:rFonts w:ascii="Arial" w:hAnsi="Arial" w:cs="Arial"/>
        </w:rPr>
        <w:t>,</w:t>
      </w:r>
      <w:r w:rsidRPr="00E851AB">
        <w:rPr>
          <w:rFonts w:ascii="Arial" w:hAnsi="Arial" w:cs="Arial"/>
        </w:rPr>
        <w:t xml:space="preserve"> enabling students to acquire knowledge, skills and understanding that are most highly valued by </w:t>
      </w:r>
      <w:r>
        <w:rPr>
          <w:rFonts w:ascii="Arial" w:hAnsi="Arial" w:cs="Arial"/>
        </w:rPr>
        <w:t>employers.”</w:t>
      </w:r>
    </w:p>
    <w:p w14:paraId="76677D87" w14:textId="77777777" w:rsidR="00E851AB" w:rsidRPr="00E851AB" w:rsidRDefault="00E851AB" w:rsidP="00E851AB">
      <w:pPr>
        <w:spacing w:line="360" w:lineRule="auto"/>
        <w:rPr>
          <w:rFonts w:ascii="Arial" w:hAnsi="Arial" w:cs="Arial"/>
        </w:rPr>
      </w:pPr>
    </w:p>
    <w:p w14:paraId="7B479242" w14:textId="77777777" w:rsidR="00E851AB" w:rsidRPr="00E851AB" w:rsidRDefault="00E851AB" w:rsidP="00E851AB">
      <w:pPr>
        <w:spacing w:line="360" w:lineRule="auto"/>
        <w:rPr>
          <w:rFonts w:ascii="Arial" w:hAnsi="Arial" w:cs="Arial"/>
          <w:b/>
          <w:bCs/>
        </w:rPr>
      </w:pPr>
      <w:r w:rsidRPr="00E851AB">
        <w:rPr>
          <w:rFonts w:ascii="Arial" w:hAnsi="Arial" w:cs="Arial"/>
          <w:b/>
          <w:bCs/>
        </w:rPr>
        <w:t>Fantastic news for the city</w:t>
      </w:r>
    </w:p>
    <w:p w14:paraId="03C2F5AD" w14:textId="77777777" w:rsidR="00E851AB" w:rsidRPr="00E851AB" w:rsidRDefault="00E851AB" w:rsidP="00E851AB">
      <w:pPr>
        <w:spacing w:line="360" w:lineRule="auto"/>
        <w:rPr>
          <w:rFonts w:ascii="Arial" w:hAnsi="Arial" w:cs="Arial"/>
        </w:rPr>
      </w:pPr>
    </w:p>
    <w:p w14:paraId="69579F86" w14:textId="77777777" w:rsidR="00E851AB" w:rsidRPr="00E851AB" w:rsidRDefault="00E851AB" w:rsidP="00E851AB">
      <w:pPr>
        <w:spacing w:line="360" w:lineRule="auto"/>
        <w:rPr>
          <w:rFonts w:ascii="Arial" w:hAnsi="Arial" w:cs="Arial"/>
        </w:rPr>
      </w:pPr>
      <w:r w:rsidRPr="00E851AB">
        <w:rPr>
          <w:rFonts w:ascii="Arial" w:hAnsi="Arial" w:cs="Arial"/>
        </w:rPr>
        <w:t xml:space="preserve">Professor Mary Stuart, Vice Chancellor at the University of Lincoln, said: "We are delighted to have been awarded Gold in the Teaching Excellence Framework (TEF). We already pride ourselves on the education, experiences and opportunities we offer our students. Our TEF Gold award is further evidence of our exciting teaching, great support for students and excellent employment outcomes. It is testament to the talents and endeavours not just of our teaching staff but of everyone who makes up our academic community, including our students who so enthusiastically embrace the opportunities and challenges presented to them.” </w:t>
      </w:r>
    </w:p>
    <w:p w14:paraId="618FC1ED" w14:textId="77777777" w:rsidR="00E851AB" w:rsidRPr="00E851AB" w:rsidRDefault="00E851AB" w:rsidP="00E851AB">
      <w:pPr>
        <w:spacing w:line="360" w:lineRule="auto"/>
        <w:rPr>
          <w:rFonts w:ascii="Arial" w:hAnsi="Arial" w:cs="Arial"/>
        </w:rPr>
      </w:pPr>
    </w:p>
    <w:p w14:paraId="630F90AA" w14:textId="77777777" w:rsidR="00E851AB" w:rsidRPr="00E851AB" w:rsidRDefault="00E851AB" w:rsidP="00E851AB">
      <w:pPr>
        <w:spacing w:line="360" w:lineRule="auto"/>
        <w:rPr>
          <w:rFonts w:ascii="Arial" w:hAnsi="Arial" w:cs="Arial"/>
        </w:rPr>
      </w:pPr>
      <w:r w:rsidRPr="00E851AB">
        <w:rPr>
          <w:rFonts w:ascii="Arial" w:hAnsi="Arial" w:cs="Arial"/>
        </w:rPr>
        <w:t>She added: "It is fantastic news for Lincoln that both the city’s universities have been awarded Gold in the TEF. It shows that people across the region are benefiting from the life-changing opportunities that higher education can bring and also puts Lincoln firmly on the map as a top destination for students from across the UK and overseas.”</w:t>
      </w:r>
    </w:p>
    <w:p w14:paraId="672DB55A" w14:textId="77777777" w:rsidR="00E851AB" w:rsidRPr="00E851AB" w:rsidRDefault="00E851AB" w:rsidP="00E851AB">
      <w:pPr>
        <w:spacing w:line="360" w:lineRule="auto"/>
        <w:rPr>
          <w:rFonts w:ascii="Arial" w:hAnsi="Arial" w:cs="Arial"/>
        </w:rPr>
      </w:pPr>
    </w:p>
    <w:p w14:paraId="5F93379A" w14:textId="7736C443" w:rsidR="00E851AB" w:rsidRPr="00E851AB" w:rsidRDefault="00E851AB" w:rsidP="00E851AB">
      <w:pPr>
        <w:spacing w:line="360" w:lineRule="auto"/>
        <w:rPr>
          <w:rFonts w:ascii="Arial" w:hAnsi="Arial" w:cs="Arial"/>
        </w:rPr>
      </w:pPr>
      <w:r w:rsidRPr="00E851AB">
        <w:rPr>
          <w:rFonts w:ascii="Arial" w:hAnsi="Arial" w:cs="Arial"/>
        </w:rPr>
        <w:t>The Vic</w:t>
      </w:r>
      <w:r>
        <w:rPr>
          <w:rFonts w:ascii="Arial" w:hAnsi="Arial" w:cs="Arial"/>
        </w:rPr>
        <w:t xml:space="preserve">e </w:t>
      </w:r>
      <w:r w:rsidRPr="00E851AB">
        <w:rPr>
          <w:rFonts w:ascii="Arial" w:hAnsi="Arial" w:cs="Arial"/>
        </w:rPr>
        <w:t>Chancellor of Bishop Grosset</w:t>
      </w:r>
      <w:r>
        <w:rPr>
          <w:rFonts w:ascii="Arial" w:hAnsi="Arial" w:cs="Arial"/>
        </w:rPr>
        <w:t>este University, the Reverend</w:t>
      </w:r>
      <w:r w:rsidRPr="00E851AB">
        <w:rPr>
          <w:rFonts w:ascii="Arial" w:hAnsi="Arial" w:cs="Arial"/>
        </w:rPr>
        <w:t xml:space="preserve"> Canon Professor Peter Neil, commenting on the TEF outcome, said: “To be judged to be in the top 26% of higher education providers across the whole country is confirmation of the quality of the education our students receive at BGU. It is also evidence that students who come to BGU are very likely to complete their studies successfully and to gain employment in the shortest possible time following graduation. We’re also pleased to see our investment in new teaching resources recognised– as evidenced by our fantastic new building that c</w:t>
      </w:r>
      <w:r>
        <w:rPr>
          <w:rFonts w:ascii="Arial" w:hAnsi="Arial" w:cs="Arial"/>
        </w:rPr>
        <w:t>an be seen from the roundabout.</w:t>
      </w:r>
    </w:p>
    <w:p w14:paraId="2DC8FD17" w14:textId="77777777" w:rsidR="00E851AB" w:rsidRPr="00E851AB" w:rsidRDefault="00E851AB" w:rsidP="00E851AB">
      <w:pPr>
        <w:spacing w:line="360" w:lineRule="auto"/>
        <w:rPr>
          <w:rFonts w:ascii="Arial" w:hAnsi="Arial" w:cs="Arial"/>
        </w:rPr>
      </w:pPr>
    </w:p>
    <w:p w14:paraId="12A235A6" w14:textId="77777777" w:rsidR="00E851AB" w:rsidRPr="00E851AB" w:rsidRDefault="00E851AB" w:rsidP="00E851AB">
      <w:pPr>
        <w:spacing w:line="360" w:lineRule="auto"/>
        <w:rPr>
          <w:rFonts w:ascii="Arial" w:hAnsi="Arial" w:cs="Arial"/>
        </w:rPr>
      </w:pPr>
      <w:r w:rsidRPr="00E851AB">
        <w:rPr>
          <w:rFonts w:ascii="Arial" w:hAnsi="Arial" w:cs="Arial"/>
        </w:rPr>
        <w:t>“This is excellent news for students coming to Lincoln that both universities are offering a gold standard teaching and learning experience.  The city is privileged to have such high quality institutions to offer. I have always been confident that we offer a gold standard experience to our students. However to receive this external judgment at national level by the panel of experts is very pleasing indeed.”</w:t>
      </w:r>
    </w:p>
    <w:p w14:paraId="73F0D00F" w14:textId="77777777" w:rsidR="00E851AB" w:rsidRPr="00E851AB" w:rsidRDefault="00E851AB" w:rsidP="00E851AB">
      <w:pPr>
        <w:spacing w:line="360" w:lineRule="auto"/>
        <w:rPr>
          <w:rFonts w:ascii="Arial" w:hAnsi="Arial" w:cs="Arial"/>
        </w:rPr>
      </w:pPr>
    </w:p>
    <w:p w14:paraId="786AB679" w14:textId="77777777" w:rsidR="00E851AB" w:rsidRPr="00E851AB" w:rsidRDefault="00E851AB" w:rsidP="00E851AB">
      <w:pPr>
        <w:spacing w:line="360" w:lineRule="auto"/>
        <w:rPr>
          <w:rFonts w:ascii="Arial" w:hAnsi="Arial" w:cs="Arial"/>
        </w:rPr>
      </w:pPr>
      <w:r w:rsidRPr="00E851AB">
        <w:rPr>
          <w:rFonts w:ascii="Arial" w:hAnsi="Arial" w:cs="Arial"/>
        </w:rPr>
        <w:t>The TEF aims to help better inform students' choices about what and where to study, raise the esteem of teaching, recognise and reward excellent teaching and better meet the needs of employers, business, industry and the professions. Outcomes were published today (22nd June 2017) for almost 300 education providers by the Higher Education Funding Council for England.</w:t>
      </w:r>
    </w:p>
    <w:p w14:paraId="2B8FED61" w14:textId="77777777" w:rsidR="003D1B66" w:rsidRDefault="003D1B66" w:rsidP="003D1B66">
      <w:pPr>
        <w:pStyle w:val="PlainText"/>
        <w:spacing w:line="360" w:lineRule="auto"/>
        <w:rPr>
          <w:rFonts w:ascii="Arial" w:hAnsi="Arial" w:cs="Arial"/>
          <w:lang w:val="en-GB"/>
        </w:rPr>
      </w:pPr>
    </w:p>
    <w:p w14:paraId="6DA76900" w14:textId="4DCBC823" w:rsidR="000E53B2" w:rsidRDefault="00E851AB" w:rsidP="2EDB396D">
      <w:pPr>
        <w:spacing w:line="360" w:lineRule="auto"/>
        <w:rPr>
          <w:rFonts w:ascii="Arial" w:hAnsi="Arial" w:cs="Arial"/>
          <w:b/>
          <w:bCs/>
        </w:rPr>
      </w:pPr>
      <w:r>
        <w:rPr>
          <w:rFonts w:ascii="Arial" w:hAnsi="Arial" w:cs="Arial"/>
          <w:b/>
          <w:bCs/>
        </w:rPr>
        <w:t>Notes to editors</w:t>
      </w:r>
    </w:p>
    <w:p w14:paraId="08274005" w14:textId="06972934" w:rsidR="00E851AB" w:rsidRDefault="00E851AB" w:rsidP="2EDB396D">
      <w:pPr>
        <w:spacing w:line="360" w:lineRule="auto"/>
        <w:rPr>
          <w:rFonts w:ascii="Arial" w:hAnsi="Arial" w:cs="Arial"/>
          <w:b/>
          <w:bCs/>
        </w:rPr>
      </w:pPr>
    </w:p>
    <w:p w14:paraId="701476D8" w14:textId="52A097E7" w:rsidR="00E851AB" w:rsidRDefault="00E851AB" w:rsidP="2EDB396D">
      <w:pPr>
        <w:spacing w:line="360" w:lineRule="auto"/>
        <w:rPr>
          <w:rFonts w:ascii="Arial" w:hAnsi="Arial" w:cs="Arial"/>
          <w:b/>
          <w:bCs/>
        </w:rPr>
      </w:pPr>
      <w:r>
        <w:rPr>
          <w:rFonts w:ascii="Arial" w:hAnsi="Arial" w:cs="Arial"/>
          <w:b/>
          <w:bCs/>
        </w:rPr>
        <w:t>Bishop Grosseteste University</w:t>
      </w:r>
    </w:p>
    <w:p w14:paraId="75F06BEE" w14:textId="77777777" w:rsidR="00E851AB" w:rsidRDefault="00E851AB" w:rsidP="2EDB396D">
      <w:pPr>
        <w:spacing w:line="360" w:lineRule="auto"/>
        <w:rPr>
          <w:rFonts w:ascii="Arial" w:hAnsi="Arial" w:cs="Arial"/>
          <w:b/>
          <w:bCs/>
        </w:rPr>
      </w:pPr>
    </w:p>
    <w:p w14:paraId="234EF8D5" w14:textId="77777777" w:rsidR="00F50A9E" w:rsidRPr="004C0F1A" w:rsidRDefault="000A2917" w:rsidP="004C0F1A">
      <w:pPr>
        <w:pStyle w:val="ListParagraph"/>
        <w:numPr>
          <w:ilvl w:val="3"/>
          <w:numId w:val="22"/>
        </w:numPr>
        <w:spacing w:line="360" w:lineRule="auto"/>
        <w:ind w:left="540"/>
        <w:rPr>
          <w:rFonts w:ascii="Arial" w:hAnsi="Arial" w:cs="Arial"/>
        </w:rPr>
      </w:pPr>
      <w:hyperlink r:id="rId15">
        <w:r w:rsidR="2EDB396D" w:rsidRPr="004C0F1A">
          <w:rPr>
            <w:rStyle w:val="Hyperlink"/>
            <w:rFonts w:ascii="Arial" w:hAnsi="Arial" w:cs="Arial"/>
            <w:color w:val="auto"/>
          </w:rPr>
          <w:t>Bishop Grosseteste University</w:t>
        </w:r>
      </w:hyperlink>
      <w:r w:rsidR="2EDB396D" w:rsidRPr="004C0F1A">
        <w:rPr>
          <w:rFonts w:ascii="Arial" w:hAnsi="Arial" w:cs="Arial"/>
        </w:rPr>
        <w:t xml:space="preserve"> was established in January 1862 and celebrated its 150</w:t>
      </w:r>
      <w:r w:rsidR="2EDB396D" w:rsidRPr="004C0F1A">
        <w:rPr>
          <w:rFonts w:ascii="Arial" w:hAnsi="Arial" w:cs="Arial"/>
          <w:vertAlign w:val="superscript"/>
        </w:rPr>
        <w:t>th</w:t>
      </w:r>
      <w:r w:rsidR="2EDB396D" w:rsidRPr="004C0F1A">
        <w:rPr>
          <w:rFonts w:ascii="Arial" w:hAnsi="Arial" w:cs="Arial"/>
        </w:rPr>
        <w:t xml:space="preserve"> anniversary in 2012.</w:t>
      </w:r>
    </w:p>
    <w:p w14:paraId="328D31DF" w14:textId="77777777" w:rsidR="00F50A9E" w:rsidRPr="004C0F1A" w:rsidRDefault="2EDB396D" w:rsidP="004C0F1A">
      <w:pPr>
        <w:pStyle w:val="ListParagraph"/>
        <w:numPr>
          <w:ilvl w:val="3"/>
          <w:numId w:val="22"/>
        </w:numPr>
        <w:spacing w:line="360" w:lineRule="auto"/>
        <w:ind w:left="540"/>
        <w:rPr>
          <w:rFonts w:ascii="Arial" w:hAnsi="Arial" w:cs="Arial"/>
        </w:rPr>
      </w:pPr>
      <w:r w:rsidRPr="004C0F1A">
        <w:rPr>
          <w:rFonts w:ascii="Arial" w:hAnsi="Arial" w:cs="Arial"/>
        </w:rPr>
        <w:t xml:space="preserve">BGU is a top three university for student employability with over 97% of leavers in work or study six months after graduating (2014/15 DLHE – read more </w:t>
      </w:r>
      <w:hyperlink r:id="rId16">
        <w:r w:rsidRPr="004C0F1A">
          <w:rPr>
            <w:rStyle w:val="Hyperlink"/>
            <w:rFonts w:ascii="Arial" w:hAnsi="Arial" w:cs="Arial"/>
            <w:color w:val="auto"/>
          </w:rPr>
          <w:t>here</w:t>
        </w:r>
      </w:hyperlink>
      <w:r w:rsidRPr="004C0F1A">
        <w:rPr>
          <w:rFonts w:ascii="Arial" w:hAnsi="Arial" w:cs="Arial"/>
        </w:rPr>
        <w:t>).</w:t>
      </w:r>
    </w:p>
    <w:p w14:paraId="2C9E39B0" w14:textId="77777777" w:rsidR="00F50A9E" w:rsidRPr="004C0F1A" w:rsidRDefault="2EDB396D" w:rsidP="004C0F1A">
      <w:pPr>
        <w:pStyle w:val="ListParagraph"/>
        <w:numPr>
          <w:ilvl w:val="3"/>
          <w:numId w:val="22"/>
        </w:numPr>
        <w:spacing w:line="360" w:lineRule="auto"/>
        <w:ind w:left="540"/>
        <w:rPr>
          <w:rFonts w:ascii="Arial" w:hAnsi="Arial" w:cs="Arial"/>
        </w:rPr>
      </w:pPr>
      <w:r w:rsidRPr="004C0F1A">
        <w:rPr>
          <w:rFonts w:ascii="Arial" w:hAnsi="Arial" w:cs="Arial"/>
        </w:rPr>
        <w:t>BGU is the 2</w:t>
      </w:r>
      <w:r w:rsidRPr="004C0F1A">
        <w:rPr>
          <w:rFonts w:ascii="Arial" w:hAnsi="Arial" w:cs="Arial"/>
          <w:vertAlign w:val="superscript"/>
        </w:rPr>
        <w:t>nd</w:t>
      </w:r>
      <w:r w:rsidRPr="004C0F1A">
        <w:rPr>
          <w:rFonts w:ascii="Arial" w:hAnsi="Arial" w:cs="Arial"/>
        </w:rPr>
        <w:t xml:space="preserve"> highest ranked public university in England for student satisfaction (National Student Survey 2016 – read more </w:t>
      </w:r>
      <w:hyperlink r:id="rId17">
        <w:r w:rsidRPr="004C0F1A">
          <w:rPr>
            <w:rStyle w:val="Hyperlink"/>
            <w:rFonts w:ascii="Arial" w:hAnsi="Arial" w:cs="Arial"/>
            <w:color w:val="auto"/>
          </w:rPr>
          <w:t>here</w:t>
        </w:r>
      </w:hyperlink>
      <w:r w:rsidRPr="004C0F1A">
        <w:rPr>
          <w:rFonts w:ascii="Arial" w:hAnsi="Arial" w:cs="Arial"/>
        </w:rPr>
        <w:t>).</w:t>
      </w:r>
    </w:p>
    <w:p w14:paraId="52B97570" w14:textId="77777777" w:rsidR="00F50A9E" w:rsidRPr="004C0F1A" w:rsidRDefault="2EDB396D" w:rsidP="004C0F1A">
      <w:pPr>
        <w:pStyle w:val="ListParagraph"/>
        <w:numPr>
          <w:ilvl w:val="3"/>
          <w:numId w:val="22"/>
        </w:numPr>
        <w:spacing w:line="360" w:lineRule="auto"/>
        <w:ind w:left="540"/>
        <w:rPr>
          <w:rFonts w:ascii="Arial" w:hAnsi="Arial" w:cs="Arial"/>
        </w:rPr>
      </w:pPr>
      <w:r w:rsidRPr="004C0F1A">
        <w:rPr>
          <w:rFonts w:ascii="Arial" w:hAnsi="Arial" w:cs="Arial"/>
        </w:rPr>
        <w:t xml:space="preserve">BGU has over 2,300 students, including undergraduate, postgraduate and research, with over 280 students at collaborative partners across Lincolnshire. </w:t>
      </w:r>
    </w:p>
    <w:p w14:paraId="4F5EB920" w14:textId="4CA498D0" w:rsidR="004C0F1A" w:rsidRPr="004C0F1A" w:rsidRDefault="2EDB396D" w:rsidP="004C0F1A">
      <w:pPr>
        <w:pStyle w:val="ListParagraph"/>
        <w:numPr>
          <w:ilvl w:val="3"/>
          <w:numId w:val="22"/>
        </w:numPr>
        <w:spacing w:line="360" w:lineRule="auto"/>
        <w:ind w:left="540"/>
        <w:rPr>
          <w:rFonts w:ascii="Arial" w:eastAsia="Times New Roman" w:hAnsi="Arial" w:cs="Arial"/>
        </w:rPr>
      </w:pPr>
      <w:r w:rsidRPr="004C0F1A">
        <w:rPr>
          <w:rFonts w:ascii="Arial" w:hAnsi="Arial" w:cs="Arial"/>
          <w:lang w:val="en-US"/>
        </w:rPr>
        <w:t xml:space="preserve">To learn more about Bishop Grosseteste University visit </w:t>
      </w:r>
      <w:hyperlink r:id="rId18" w:history="1">
        <w:r w:rsidR="00751555" w:rsidRPr="00935047">
          <w:rPr>
            <w:rStyle w:val="Hyperlink"/>
            <w:rFonts w:ascii="Arial" w:hAnsi="Arial" w:cs="Arial"/>
            <w:lang w:val="en-US"/>
          </w:rPr>
          <w:t>www.bishopg.ac.uk</w:t>
        </w:r>
      </w:hyperlink>
      <w:r w:rsidR="00751555">
        <w:rPr>
          <w:rFonts w:ascii="Arial" w:eastAsia="Times New Roman" w:hAnsi="Arial" w:cs="Arial"/>
        </w:rPr>
        <w:t xml:space="preserve"> </w:t>
      </w:r>
    </w:p>
    <w:p w14:paraId="1E5E91E7" w14:textId="4E66C2F8" w:rsidR="000E53B2" w:rsidRDefault="000E53B2" w:rsidP="001C75D8">
      <w:pPr>
        <w:pStyle w:val="ListParagraph"/>
        <w:spacing w:line="360" w:lineRule="auto"/>
        <w:ind w:left="540"/>
        <w:rPr>
          <w:rStyle w:val="Hyperlink"/>
          <w:rFonts w:ascii="Arial" w:eastAsia="Times New Roman" w:hAnsi="Arial" w:cs="Arial"/>
          <w:color w:val="auto"/>
          <w:u w:val="none"/>
        </w:rPr>
      </w:pPr>
    </w:p>
    <w:p w14:paraId="57527517" w14:textId="26789333" w:rsidR="001C75D8" w:rsidRPr="00E25DB6" w:rsidRDefault="001C75D8" w:rsidP="001C75D8">
      <w:pPr>
        <w:spacing w:line="360" w:lineRule="auto"/>
        <w:rPr>
          <w:rStyle w:val="Hyperlink"/>
          <w:rFonts w:ascii="Arial" w:eastAsia="Times New Roman" w:hAnsi="Arial" w:cs="Arial"/>
          <w:b/>
          <w:color w:val="auto"/>
          <w:u w:val="none"/>
        </w:rPr>
      </w:pPr>
      <w:r w:rsidRPr="00E25DB6">
        <w:rPr>
          <w:rStyle w:val="Hyperlink"/>
          <w:rFonts w:ascii="Arial" w:eastAsia="Times New Roman" w:hAnsi="Arial" w:cs="Arial"/>
          <w:b/>
          <w:color w:val="auto"/>
          <w:u w:val="none"/>
        </w:rPr>
        <w:t>University of Lincoln</w:t>
      </w:r>
    </w:p>
    <w:p w14:paraId="2F85ABD1" w14:textId="77777777" w:rsidR="00910AD4" w:rsidRDefault="00910AD4" w:rsidP="00910AD4">
      <w:pPr>
        <w:rPr>
          <w:b/>
          <w:bCs/>
          <w:color w:val="1F497D"/>
        </w:rPr>
      </w:pPr>
    </w:p>
    <w:p w14:paraId="74E68BC4" w14:textId="77777777" w:rsidR="00910AD4" w:rsidRPr="00910AD4" w:rsidRDefault="00910AD4" w:rsidP="00910AD4">
      <w:pPr>
        <w:pStyle w:val="ListParagraph"/>
        <w:numPr>
          <w:ilvl w:val="0"/>
          <w:numId w:val="25"/>
        </w:numPr>
        <w:spacing w:line="360" w:lineRule="auto"/>
        <w:ind w:left="540"/>
        <w:rPr>
          <w:rFonts w:ascii="Arial" w:hAnsi="Arial" w:cs="Arial"/>
          <w:bCs/>
        </w:rPr>
      </w:pPr>
      <w:r w:rsidRPr="00910AD4">
        <w:rPr>
          <w:rFonts w:ascii="Arial" w:hAnsi="Arial" w:cs="Arial"/>
          <w:bCs/>
        </w:rPr>
        <w:t xml:space="preserve">The University of Lincoln is a top 50 UK university (The Guardian University Guide 2018; Complete University Guide 2018). </w:t>
      </w:r>
    </w:p>
    <w:p w14:paraId="22377593" w14:textId="77777777" w:rsidR="00910AD4" w:rsidRPr="00910AD4" w:rsidRDefault="00910AD4" w:rsidP="00910AD4">
      <w:pPr>
        <w:pStyle w:val="ListParagraph"/>
        <w:numPr>
          <w:ilvl w:val="0"/>
          <w:numId w:val="25"/>
        </w:numPr>
        <w:spacing w:line="360" w:lineRule="auto"/>
        <w:ind w:left="540"/>
        <w:rPr>
          <w:rFonts w:ascii="Arial" w:hAnsi="Arial" w:cs="Arial"/>
          <w:bCs/>
        </w:rPr>
      </w:pPr>
      <w:r w:rsidRPr="00910AD4">
        <w:rPr>
          <w:rFonts w:ascii="Arial" w:hAnsi="Arial" w:cs="Arial"/>
          <w:bCs/>
        </w:rPr>
        <w:t xml:space="preserve">It has some of the most satisfied students in the UK, placed in the top 10 for student satisfaction in the National Student Survey 2016 and rated in the top 10 for student experience and teaching quality in The Times and Sunday Times Good University Guide 2017. </w:t>
      </w:r>
    </w:p>
    <w:p w14:paraId="2F9DBF7F" w14:textId="77777777" w:rsidR="00910AD4" w:rsidRPr="00910AD4" w:rsidRDefault="00910AD4" w:rsidP="00910AD4">
      <w:pPr>
        <w:pStyle w:val="ListParagraph"/>
        <w:numPr>
          <w:ilvl w:val="0"/>
          <w:numId w:val="25"/>
        </w:numPr>
        <w:spacing w:line="360" w:lineRule="auto"/>
        <w:ind w:left="540"/>
        <w:rPr>
          <w:rFonts w:ascii="Arial" w:hAnsi="Arial" w:cs="Arial"/>
          <w:bCs/>
        </w:rPr>
      </w:pPr>
      <w:r w:rsidRPr="00910AD4">
        <w:rPr>
          <w:rFonts w:ascii="Arial" w:hAnsi="Arial" w:cs="Arial"/>
          <w:bCs/>
        </w:rPr>
        <w:t xml:space="preserve">It is known for its pioneering approach to working with employers, winning a Lord Stafford Award and a Times Higher Education Award. </w:t>
      </w:r>
    </w:p>
    <w:p w14:paraId="31886672" w14:textId="77777777" w:rsidR="00910AD4" w:rsidRPr="00910AD4" w:rsidRDefault="00910AD4" w:rsidP="00910AD4">
      <w:pPr>
        <w:pStyle w:val="ListParagraph"/>
        <w:numPr>
          <w:ilvl w:val="0"/>
          <w:numId w:val="25"/>
        </w:numPr>
        <w:spacing w:line="360" w:lineRule="auto"/>
        <w:ind w:left="540"/>
        <w:rPr>
          <w:rFonts w:ascii="Arial" w:hAnsi="Arial" w:cs="Arial"/>
          <w:bCs/>
        </w:rPr>
      </w:pPr>
      <w:r w:rsidRPr="00910AD4">
        <w:rPr>
          <w:rFonts w:ascii="Arial" w:hAnsi="Arial" w:cs="Arial"/>
          <w:bCs/>
        </w:rPr>
        <w:lastRenderedPageBreak/>
        <w:t xml:space="preserve">Graduate prospects are strong with 95% of Lincoln’s most recent graduates in work or further study six months after finishing their course and almost three-quarters in graduate level roles. </w:t>
      </w:r>
    </w:p>
    <w:p w14:paraId="4BD1DD38" w14:textId="00C0D8C5" w:rsidR="00910AD4" w:rsidRDefault="00910AD4" w:rsidP="00910AD4">
      <w:pPr>
        <w:pStyle w:val="ListParagraph"/>
        <w:numPr>
          <w:ilvl w:val="0"/>
          <w:numId w:val="25"/>
        </w:numPr>
        <w:spacing w:line="360" w:lineRule="auto"/>
        <w:ind w:left="540"/>
        <w:rPr>
          <w:rFonts w:ascii="Arial" w:hAnsi="Arial" w:cs="Arial"/>
          <w:bCs/>
        </w:rPr>
      </w:pPr>
      <w:r w:rsidRPr="00910AD4">
        <w:rPr>
          <w:rFonts w:ascii="Arial" w:hAnsi="Arial" w:cs="Arial"/>
          <w:bCs/>
        </w:rPr>
        <w:t>In the Research Excellence Framework 2014, more than half of submitted research was judged to be internationally excellent or world-leading.</w:t>
      </w:r>
    </w:p>
    <w:p w14:paraId="0148A309" w14:textId="2221A0E2" w:rsidR="00751555" w:rsidRDefault="00751555" w:rsidP="00910AD4">
      <w:pPr>
        <w:pStyle w:val="ListParagraph"/>
        <w:numPr>
          <w:ilvl w:val="0"/>
          <w:numId w:val="25"/>
        </w:numPr>
        <w:spacing w:line="360" w:lineRule="auto"/>
        <w:ind w:left="540"/>
        <w:rPr>
          <w:rFonts w:ascii="Arial" w:hAnsi="Arial" w:cs="Arial"/>
          <w:bCs/>
        </w:rPr>
      </w:pPr>
      <w:r>
        <w:rPr>
          <w:rFonts w:ascii="Arial" w:hAnsi="Arial" w:cs="Arial"/>
          <w:bCs/>
        </w:rPr>
        <w:t xml:space="preserve">For more information visit </w:t>
      </w:r>
      <w:hyperlink r:id="rId19" w:history="1">
        <w:r w:rsidRPr="00935047">
          <w:rPr>
            <w:rStyle w:val="Hyperlink"/>
            <w:rFonts w:ascii="Arial" w:hAnsi="Arial" w:cs="Arial"/>
          </w:rPr>
          <w:t>www.lincoln.ac.uk</w:t>
        </w:r>
      </w:hyperlink>
    </w:p>
    <w:p w14:paraId="1F5C135D" w14:textId="77777777" w:rsidR="00751555" w:rsidRPr="00910AD4" w:rsidRDefault="00751555" w:rsidP="00751555">
      <w:pPr>
        <w:pStyle w:val="ListParagraph"/>
        <w:spacing w:line="360" w:lineRule="auto"/>
        <w:ind w:left="540"/>
        <w:rPr>
          <w:rFonts w:ascii="Arial" w:hAnsi="Arial" w:cs="Arial"/>
          <w:bCs/>
        </w:rPr>
      </w:pPr>
    </w:p>
    <w:p w14:paraId="5D946875" w14:textId="03A45914" w:rsidR="001C75D8" w:rsidRPr="00E25DB6" w:rsidRDefault="001C75D8" w:rsidP="00E25DB6">
      <w:pPr>
        <w:spacing w:line="360" w:lineRule="auto"/>
        <w:rPr>
          <w:rStyle w:val="Hyperlink"/>
          <w:rFonts w:ascii="Arial" w:eastAsia="Times New Roman" w:hAnsi="Arial" w:cs="Arial"/>
          <w:b/>
          <w:color w:val="auto"/>
          <w:u w:val="none"/>
        </w:rPr>
      </w:pPr>
      <w:r w:rsidRPr="00E25DB6">
        <w:rPr>
          <w:rStyle w:val="Hyperlink"/>
          <w:rFonts w:ascii="Arial" w:eastAsia="Times New Roman" w:hAnsi="Arial" w:cs="Arial"/>
          <w:b/>
          <w:color w:val="auto"/>
          <w:u w:val="none"/>
        </w:rPr>
        <w:t>Teaching Excellence Framework</w:t>
      </w:r>
    </w:p>
    <w:p w14:paraId="52FA0F15" w14:textId="04CE44BD" w:rsidR="001C75D8" w:rsidRDefault="001C75D8" w:rsidP="00E25DB6">
      <w:pPr>
        <w:spacing w:line="360" w:lineRule="auto"/>
        <w:rPr>
          <w:rStyle w:val="Hyperlink"/>
          <w:rFonts w:ascii="Arial" w:eastAsia="Times New Roman" w:hAnsi="Arial" w:cs="Arial"/>
          <w:color w:val="auto"/>
          <w:u w:val="none"/>
        </w:rPr>
      </w:pPr>
    </w:p>
    <w:p w14:paraId="179CD52A" w14:textId="471DA369" w:rsidR="00E25DB6" w:rsidRPr="00E25DB6" w:rsidRDefault="00E25DB6" w:rsidP="00E25DB6">
      <w:pPr>
        <w:pStyle w:val="ListParagraph"/>
        <w:numPr>
          <w:ilvl w:val="0"/>
          <w:numId w:val="24"/>
        </w:numPr>
        <w:spacing w:line="360" w:lineRule="auto"/>
        <w:ind w:left="459"/>
        <w:rPr>
          <w:rFonts w:ascii="Arial" w:hAnsi="Arial" w:cs="Arial"/>
        </w:rPr>
      </w:pPr>
      <w:r w:rsidRPr="00E25DB6">
        <w:rPr>
          <w:rFonts w:ascii="Arial" w:hAnsi="Arial" w:cs="Arial"/>
        </w:rPr>
        <w:t xml:space="preserve">The Teaching Excellence Framework – the first scheme of its kind – recognises excellent teaching and learning across the UK’s world-class higher education sector. </w:t>
      </w:r>
    </w:p>
    <w:p w14:paraId="76AA6A98" w14:textId="5712D753" w:rsidR="00E25DB6" w:rsidRPr="00E25DB6" w:rsidRDefault="00E25DB6" w:rsidP="00E25DB6">
      <w:pPr>
        <w:pStyle w:val="ListParagraph"/>
        <w:numPr>
          <w:ilvl w:val="0"/>
          <w:numId w:val="24"/>
        </w:numPr>
        <w:spacing w:line="360" w:lineRule="auto"/>
        <w:ind w:left="459"/>
        <w:rPr>
          <w:rFonts w:ascii="Arial" w:hAnsi="Arial" w:cs="Arial"/>
        </w:rPr>
      </w:pPr>
      <w:r w:rsidRPr="00E25DB6">
        <w:rPr>
          <w:rFonts w:ascii="Arial" w:hAnsi="Arial" w:cs="Arial"/>
        </w:rPr>
        <w:t>In order to be considered for a TEF rating, higher education providers have to meet demanding national quality requirements. The TEF measures excellence above and beyond this.</w:t>
      </w:r>
    </w:p>
    <w:p w14:paraId="1919C315" w14:textId="77822F02" w:rsidR="00E25DB6" w:rsidRPr="00E25DB6" w:rsidRDefault="00E25DB6" w:rsidP="0086175A">
      <w:pPr>
        <w:pStyle w:val="ListParagraph"/>
        <w:numPr>
          <w:ilvl w:val="0"/>
          <w:numId w:val="24"/>
        </w:numPr>
        <w:spacing w:line="360" w:lineRule="auto"/>
        <w:ind w:left="459"/>
        <w:rPr>
          <w:rFonts w:ascii="Arial" w:hAnsi="Arial" w:cs="Arial"/>
        </w:rPr>
      </w:pPr>
      <w:r w:rsidRPr="00E25DB6">
        <w:rPr>
          <w:rFonts w:ascii="Arial" w:hAnsi="Arial" w:cs="Arial"/>
        </w:rPr>
        <w:t xml:space="preserve">The full list of ratings for each higher education provider is published at </w:t>
      </w:r>
      <w:hyperlink r:id="rId20" w:history="1">
        <w:r w:rsidRPr="00E25DB6">
          <w:rPr>
            <w:rStyle w:val="Hyperlink"/>
            <w:rFonts w:ascii="Arial" w:hAnsi="Arial" w:cs="Arial"/>
          </w:rPr>
          <w:t>www.hefce.ac.uk/lt/tef/</w:t>
        </w:r>
      </w:hyperlink>
      <w:r w:rsidRPr="00E25DB6">
        <w:rPr>
          <w:rFonts w:ascii="Arial" w:hAnsi="Arial" w:cs="Arial"/>
        </w:rPr>
        <w:t xml:space="preserve">. </w:t>
      </w:r>
    </w:p>
    <w:p w14:paraId="16DD694E" w14:textId="0292921A" w:rsidR="00E25DB6" w:rsidRPr="00E25DB6" w:rsidRDefault="00E25DB6" w:rsidP="00411111">
      <w:pPr>
        <w:pStyle w:val="ListParagraph"/>
        <w:numPr>
          <w:ilvl w:val="0"/>
          <w:numId w:val="24"/>
        </w:numPr>
        <w:spacing w:line="360" w:lineRule="auto"/>
        <w:ind w:left="459"/>
        <w:rPr>
          <w:rFonts w:ascii="Arial" w:hAnsi="Arial" w:cs="Arial"/>
        </w:rPr>
      </w:pPr>
      <w:r w:rsidRPr="00E25DB6">
        <w:rPr>
          <w:rFonts w:ascii="Arial" w:hAnsi="Arial" w:cs="Arial"/>
        </w:rPr>
        <w:t xml:space="preserve">The TEF awards are decided by an independent panel of experts, including academics, students and employer representatives. </w:t>
      </w:r>
    </w:p>
    <w:p w14:paraId="630C80F8" w14:textId="30444B0C" w:rsidR="00E25DB6" w:rsidRPr="00E25DB6" w:rsidRDefault="00E25DB6" w:rsidP="00E25DB6">
      <w:pPr>
        <w:pStyle w:val="ListParagraph"/>
        <w:numPr>
          <w:ilvl w:val="0"/>
          <w:numId w:val="24"/>
        </w:numPr>
        <w:spacing w:line="360" w:lineRule="auto"/>
        <w:ind w:left="450"/>
        <w:rPr>
          <w:rFonts w:ascii="Arial" w:hAnsi="Arial" w:cs="Arial"/>
        </w:rPr>
      </w:pPr>
      <w:r w:rsidRPr="00E25DB6">
        <w:rPr>
          <w:rFonts w:ascii="Arial" w:hAnsi="Arial" w:cs="Arial"/>
        </w:rPr>
        <w:t>The TEF measures teaching excellence in three key areas: teaching quality, learning environment and student outcomes.</w:t>
      </w:r>
    </w:p>
    <w:p w14:paraId="013889B3" w14:textId="46FFCE7F" w:rsidR="00E25DB6" w:rsidRPr="00E25DB6" w:rsidRDefault="00E25DB6" w:rsidP="00E25DB6">
      <w:pPr>
        <w:pStyle w:val="ListParagraph"/>
        <w:numPr>
          <w:ilvl w:val="0"/>
          <w:numId w:val="24"/>
        </w:numPr>
        <w:spacing w:line="360" w:lineRule="auto"/>
        <w:ind w:left="459"/>
        <w:rPr>
          <w:rFonts w:ascii="Arial" w:hAnsi="Arial" w:cs="Arial"/>
        </w:rPr>
      </w:pPr>
      <w:r w:rsidRPr="00E25DB6">
        <w:rPr>
          <w:rFonts w:ascii="Arial" w:hAnsi="Arial" w:cs="Arial"/>
        </w:rPr>
        <w:t>Participation in the TEF is voluntary. Across the UK, 295 higher education providers (universities, colleges and alternative providers) participated. Of these, 231 providers applied for a TEF assessment (resulting in a gold, silver or bronze award) while the remaining 64 providers opted-in for a provisional award.</w:t>
      </w:r>
    </w:p>
    <w:p w14:paraId="782FB8EF" w14:textId="6F681859" w:rsidR="001C75D8" w:rsidRPr="00E25DB6" w:rsidRDefault="00E25DB6" w:rsidP="00E25DB6">
      <w:pPr>
        <w:pStyle w:val="ListParagraph"/>
        <w:numPr>
          <w:ilvl w:val="0"/>
          <w:numId w:val="24"/>
        </w:numPr>
        <w:spacing w:line="360" w:lineRule="auto"/>
        <w:ind w:left="459"/>
        <w:rPr>
          <w:rStyle w:val="Hyperlink"/>
          <w:rFonts w:ascii="Arial" w:hAnsi="Arial" w:cs="Arial"/>
          <w:color w:val="auto"/>
          <w:u w:val="none"/>
        </w:rPr>
      </w:pPr>
      <w:r w:rsidRPr="00E25DB6">
        <w:rPr>
          <w:rFonts w:ascii="Arial" w:hAnsi="Arial" w:cs="Arial"/>
        </w:rPr>
        <w:t>Of the 295 participating providers, 134 were higher education institutions (HEIs), 106 were further education colleges (FECs) and 55 providers were alternative providers (APs).</w:t>
      </w:r>
    </w:p>
    <w:p w14:paraId="674083C3" w14:textId="77777777" w:rsidR="00F50A9E" w:rsidRDefault="00F50A9E" w:rsidP="00F50A9E">
      <w:pPr>
        <w:spacing w:line="360" w:lineRule="auto"/>
        <w:ind w:left="426"/>
        <w:rPr>
          <w:rFonts w:ascii="Arial" w:hAnsi="Arial" w:cs="Arial"/>
          <w:lang w:eastAsia="en-GB"/>
        </w:rPr>
      </w:pPr>
    </w:p>
    <w:p w14:paraId="24C6B9E6" w14:textId="0F9795A4" w:rsidR="000E53B2" w:rsidRDefault="2EDB396D" w:rsidP="2EDB396D">
      <w:pPr>
        <w:spacing w:line="360" w:lineRule="auto"/>
        <w:rPr>
          <w:rFonts w:ascii="Arial" w:hAnsi="Arial" w:cs="Arial"/>
          <w:b/>
          <w:bCs/>
        </w:rPr>
      </w:pPr>
      <w:r w:rsidRPr="2EDB396D">
        <w:rPr>
          <w:rFonts w:ascii="Arial" w:hAnsi="Arial" w:cs="Arial"/>
          <w:b/>
          <w:bCs/>
        </w:rPr>
        <w:t>For media information please contact:</w:t>
      </w:r>
    </w:p>
    <w:p w14:paraId="4554759E" w14:textId="77777777" w:rsidR="00637222" w:rsidRPr="00711322" w:rsidRDefault="00637222" w:rsidP="2EDB396D">
      <w:pPr>
        <w:spacing w:line="360" w:lineRule="auto"/>
        <w:rPr>
          <w:rFonts w:ascii="Arial" w:hAnsi="Arial" w:cs="Arial"/>
          <w:b/>
          <w:bCs/>
        </w:rPr>
      </w:pPr>
    </w:p>
    <w:p w14:paraId="0440366F" w14:textId="0A78A5E6" w:rsidR="000E53B2" w:rsidRPr="00711322" w:rsidRDefault="000E53B2" w:rsidP="2EDB396D">
      <w:pPr>
        <w:spacing w:line="360" w:lineRule="auto"/>
        <w:rPr>
          <w:rFonts w:ascii="Arial" w:hAnsi="Arial" w:cs="Arial"/>
          <w:b/>
          <w:bCs/>
        </w:rPr>
      </w:pPr>
      <w:r w:rsidRPr="2EDB396D">
        <w:rPr>
          <w:rFonts w:ascii="Arial" w:hAnsi="Arial" w:cs="Arial"/>
          <w:b/>
          <w:bCs/>
        </w:rPr>
        <w:t xml:space="preserve">Jez </w:t>
      </w:r>
      <w:r w:rsidR="2EDB396D" w:rsidRPr="2EDB396D">
        <w:rPr>
          <w:rFonts w:ascii="Arial" w:hAnsi="Arial" w:cs="Arial"/>
          <w:b/>
          <w:bCs/>
        </w:rPr>
        <w:t xml:space="preserve">Ashberry </w:t>
      </w:r>
      <w:r w:rsidR="00637222">
        <w:rPr>
          <w:rFonts w:ascii="Arial" w:hAnsi="Arial" w:cs="Arial"/>
          <w:b/>
        </w:rPr>
        <w:t>(BGU)</w:t>
      </w:r>
    </w:p>
    <w:p w14:paraId="68F6DEEA" w14:textId="77777777" w:rsidR="000E53B2" w:rsidRPr="00711322" w:rsidRDefault="00711322" w:rsidP="2EDB396D">
      <w:pPr>
        <w:spacing w:line="360" w:lineRule="auto"/>
        <w:rPr>
          <w:rFonts w:ascii="Arial" w:hAnsi="Arial" w:cs="Arial"/>
          <w:b/>
          <w:bCs/>
        </w:rPr>
      </w:pPr>
      <w:r w:rsidRPr="2EDB396D">
        <w:rPr>
          <w:rFonts w:ascii="Arial" w:hAnsi="Arial" w:cs="Arial"/>
          <w:b/>
          <w:bCs/>
        </w:rPr>
        <w:t>Shooting Star</w:t>
      </w:r>
      <w:r w:rsidR="000E53B2" w:rsidRPr="00711322">
        <w:rPr>
          <w:rFonts w:ascii="Arial" w:hAnsi="Arial" w:cs="Arial"/>
          <w:b/>
        </w:rPr>
        <w:tab/>
      </w:r>
      <w:r w:rsidR="000E53B2" w:rsidRPr="2EDB396D">
        <w:rPr>
          <w:rFonts w:ascii="Arial" w:hAnsi="Arial" w:cs="Arial"/>
          <w:b/>
          <w:bCs/>
        </w:rPr>
        <w:t xml:space="preserve">               </w:t>
      </w:r>
      <w:r w:rsidR="000E53B2" w:rsidRPr="00711322">
        <w:rPr>
          <w:rFonts w:ascii="Arial" w:hAnsi="Arial" w:cs="Arial"/>
          <w:b/>
        </w:rPr>
        <w:tab/>
      </w:r>
    </w:p>
    <w:p w14:paraId="2CB4204C" w14:textId="77777777" w:rsidR="000E53B2" w:rsidRPr="00711322" w:rsidRDefault="000E53B2" w:rsidP="2EDB396D">
      <w:pPr>
        <w:spacing w:line="360" w:lineRule="auto"/>
        <w:rPr>
          <w:rFonts w:ascii="Arial" w:hAnsi="Arial" w:cs="Arial"/>
          <w:b/>
          <w:bCs/>
        </w:rPr>
      </w:pPr>
      <w:r w:rsidRPr="2EDB396D">
        <w:rPr>
          <w:rFonts w:ascii="Arial" w:hAnsi="Arial" w:cs="Arial"/>
          <w:b/>
          <w:bCs/>
        </w:rPr>
        <w:t>01522 528540</w:t>
      </w:r>
      <w:r w:rsidRPr="00711322">
        <w:rPr>
          <w:rFonts w:ascii="Arial" w:hAnsi="Arial" w:cs="Arial"/>
          <w:b/>
        </w:rPr>
        <w:tab/>
      </w:r>
      <w:r w:rsidRPr="00711322">
        <w:rPr>
          <w:rFonts w:ascii="Arial" w:hAnsi="Arial" w:cs="Arial"/>
          <w:b/>
        </w:rPr>
        <w:tab/>
      </w:r>
    </w:p>
    <w:p w14:paraId="58957AAC" w14:textId="77777777" w:rsidR="000E53B2" w:rsidRPr="00711322" w:rsidRDefault="2EDB396D" w:rsidP="2EDB396D">
      <w:pPr>
        <w:spacing w:line="360" w:lineRule="auto"/>
        <w:rPr>
          <w:rFonts w:ascii="Arial" w:hAnsi="Arial" w:cs="Arial"/>
          <w:b/>
          <w:bCs/>
        </w:rPr>
      </w:pPr>
      <w:r w:rsidRPr="2EDB396D">
        <w:rPr>
          <w:rFonts w:ascii="Arial" w:hAnsi="Arial" w:cs="Arial"/>
          <w:b/>
          <w:bCs/>
        </w:rPr>
        <w:t>07780 735071</w:t>
      </w:r>
    </w:p>
    <w:p w14:paraId="36EF0A54" w14:textId="1E8C925B" w:rsidR="00711322" w:rsidRPr="00711322" w:rsidRDefault="000A2917" w:rsidP="00C47194">
      <w:pPr>
        <w:spacing w:line="360" w:lineRule="auto"/>
        <w:rPr>
          <w:rFonts w:ascii="Arial" w:hAnsi="Arial" w:cs="Arial"/>
          <w:b/>
        </w:rPr>
      </w:pPr>
      <w:hyperlink r:id="rId21" w:history="1">
        <w:r w:rsidR="00711322" w:rsidRPr="00711322">
          <w:rPr>
            <w:rStyle w:val="Hyperlink"/>
            <w:rFonts w:ascii="Arial" w:hAnsi="Arial" w:cs="Arial"/>
            <w:b/>
          </w:rPr>
          <w:t>jez@weareshootingstar.co.uk</w:t>
        </w:r>
      </w:hyperlink>
      <w:r w:rsidR="00711322" w:rsidRPr="00711322">
        <w:rPr>
          <w:rFonts w:ascii="Arial" w:hAnsi="Arial" w:cs="Arial"/>
          <w:b/>
        </w:rPr>
        <w:t xml:space="preserve"> </w:t>
      </w:r>
    </w:p>
    <w:p w14:paraId="1F67A645" w14:textId="77777777" w:rsidR="00751555" w:rsidRDefault="00751555" w:rsidP="2EDB396D">
      <w:pPr>
        <w:spacing w:line="360" w:lineRule="auto"/>
        <w:rPr>
          <w:rFonts w:ascii="Arial" w:hAnsi="Arial" w:cs="Arial"/>
          <w:b/>
          <w:bCs/>
        </w:rPr>
      </w:pPr>
    </w:p>
    <w:p w14:paraId="5905D7E2" w14:textId="61875228" w:rsidR="00637222" w:rsidRDefault="00637222" w:rsidP="2EDB396D">
      <w:pPr>
        <w:spacing w:line="360" w:lineRule="auto"/>
        <w:rPr>
          <w:rFonts w:ascii="Arial" w:hAnsi="Arial" w:cs="Arial"/>
          <w:b/>
          <w:bCs/>
        </w:rPr>
      </w:pPr>
      <w:r>
        <w:rPr>
          <w:rFonts w:ascii="Arial" w:hAnsi="Arial" w:cs="Arial"/>
          <w:b/>
          <w:bCs/>
        </w:rPr>
        <w:t>or</w:t>
      </w:r>
    </w:p>
    <w:p w14:paraId="51E5945F" w14:textId="77777777" w:rsidR="00910AD4" w:rsidRPr="00910AD4" w:rsidRDefault="00637222" w:rsidP="00910AD4">
      <w:pPr>
        <w:spacing w:line="360" w:lineRule="auto"/>
        <w:rPr>
          <w:rFonts w:ascii="Arial" w:hAnsi="Arial" w:cs="Arial"/>
          <w:b/>
          <w:bCs/>
        </w:rPr>
      </w:pPr>
      <w:r w:rsidRPr="00910AD4">
        <w:rPr>
          <w:rFonts w:ascii="Arial" w:hAnsi="Arial" w:cs="Arial"/>
          <w:b/>
          <w:bCs/>
        </w:rPr>
        <w:lastRenderedPageBreak/>
        <w:t xml:space="preserve">Ian Richards </w:t>
      </w:r>
    </w:p>
    <w:p w14:paraId="6428F200" w14:textId="77777777" w:rsidR="00910AD4" w:rsidRPr="00910AD4" w:rsidRDefault="00637222" w:rsidP="00910AD4">
      <w:pPr>
        <w:spacing w:line="360" w:lineRule="auto"/>
        <w:rPr>
          <w:rFonts w:ascii="Arial" w:hAnsi="Arial" w:cs="Arial"/>
          <w:b/>
          <w:bCs/>
        </w:rPr>
      </w:pPr>
      <w:r w:rsidRPr="00910AD4">
        <w:rPr>
          <w:rFonts w:ascii="Arial" w:hAnsi="Arial" w:cs="Arial"/>
          <w:b/>
          <w:bCs/>
        </w:rPr>
        <w:t xml:space="preserve">University of Lincoln Press Office </w:t>
      </w:r>
    </w:p>
    <w:p w14:paraId="0C0F69DE" w14:textId="79CB7241" w:rsidR="00910AD4" w:rsidRPr="00910AD4" w:rsidRDefault="000A2917" w:rsidP="00910AD4">
      <w:pPr>
        <w:spacing w:line="360" w:lineRule="auto"/>
        <w:rPr>
          <w:rFonts w:ascii="Arial" w:hAnsi="Arial" w:cs="Arial"/>
          <w:b/>
          <w:bCs/>
        </w:rPr>
      </w:pPr>
      <w:hyperlink r:id="rId22" w:history="1">
        <w:r w:rsidR="00910AD4" w:rsidRPr="00910AD4">
          <w:rPr>
            <w:rStyle w:val="Hyperlink"/>
            <w:rFonts w:ascii="Arial" w:hAnsi="Arial" w:cs="Arial"/>
            <w:b/>
          </w:rPr>
          <w:t>irichards@lincoln.ac.uk</w:t>
        </w:r>
      </w:hyperlink>
      <w:r w:rsidR="00910AD4" w:rsidRPr="00910AD4">
        <w:rPr>
          <w:rFonts w:ascii="Arial" w:hAnsi="Arial" w:cs="Arial"/>
          <w:b/>
          <w:bCs/>
        </w:rPr>
        <w:t xml:space="preserve"> </w:t>
      </w:r>
    </w:p>
    <w:p w14:paraId="29BE40C1" w14:textId="004C829B" w:rsidR="00637222" w:rsidRPr="00910AD4" w:rsidRDefault="00910AD4" w:rsidP="00910AD4">
      <w:pPr>
        <w:spacing w:line="360" w:lineRule="auto"/>
        <w:rPr>
          <w:rFonts w:ascii="Arial" w:hAnsi="Arial" w:cs="Arial"/>
          <w:b/>
          <w:bCs/>
        </w:rPr>
      </w:pPr>
      <w:r w:rsidRPr="00910AD4">
        <w:rPr>
          <w:rFonts w:ascii="Arial" w:hAnsi="Arial" w:cs="Arial"/>
          <w:b/>
          <w:bCs/>
        </w:rPr>
        <w:t>01522 886042 / 01522 886244</w:t>
      </w:r>
    </w:p>
    <w:p w14:paraId="676E1D71" w14:textId="27789C03" w:rsidR="00995BE4" w:rsidRDefault="009D7A24" w:rsidP="2EDB396D">
      <w:pPr>
        <w:spacing w:line="360" w:lineRule="auto"/>
        <w:rPr>
          <w:rFonts w:ascii="Arial" w:hAnsi="Arial" w:cs="Arial"/>
          <w:b/>
          <w:bCs/>
        </w:rPr>
      </w:pPr>
      <w:r>
        <w:rPr>
          <w:rFonts w:ascii="Arial" w:hAnsi="Arial" w:cs="Arial"/>
          <w:b/>
          <w:bCs/>
        </w:rPr>
        <w:t>[BGU22</w:t>
      </w:r>
      <w:r w:rsidR="00E851AB">
        <w:rPr>
          <w:rFonts w:ascii="Arial" w:hAnsi="Arial" w:cs="Arial"/>
          <w:b/>
          <w:bCs/>
        </w:rPr>
        <w:t>5TEF</w:t>
      </w:r>
      <w:r w:rsidR="2EDB396D" w:rsidRPr="2EDB396D">
        <w:rPr>
          <w:rFonts w:ascii="Arial" w:hAnsi="Arial" w:cs="Arial"/>
          <w:b/>
          <w:bCs/>
        </w:rPr>
        <w:t>]</w:t>
      </w:r>
      <w:bookmarkEnd w:id="1"/>
    </w:p>
    <w:sectPr w:rsidR="00995BE4" w:rsidSect="001E7AEF">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46AD4" w14:textId="77777777" w:rsidR="00E20071" w:rsidRDefault="00E20071" w:rsidP="00D538E9">
      <w:r>
        <w:separator/>
      </w:r>
    </w:p>
  </w:endnote>
  <w:endnote w:type="continuationSeparator" w:id="0">
    <w:p w14:paraId="76E42A96" w14:textId="77777777" w:rsidR="00E20071" w:rsidRDefault="00E20071" w:rsidP="00D5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AF034" w14:textId="77777777" w:rsidR="00E20071" w:rsidRDefault="00E20071" w:rsidP="00D538E9">
      <w:r>
        <w:separator/>
      </w:r>
    </w:p>
  </w:footnote>
  <w:footnote w:type="continuationSeparator" w:id="0">
    <w:p w14:paraId="3D1B9949" w14:textId="77777777" w:rsidR="00E20071" w:rsidRDefault="00E20071" w:rsidP="00D53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E84"/>
    <w:multiLevelType w:val="hybridMultilevel"/>
    <w:tmpl w:val="8FB459EA"/>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54238"/>
    <w:multiLevelType w:val="hybridMultilevel"/>
    <w:tmpl w:val="2DEE8E0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314330D"/>
    <w:multiLevelType w:val="hybridMultilevel"/>
    <w:tmpl w:val="3D7874EE"/>
    <w:lvl w:ilvl="0" w:tplc="2A88213C">
      <w:start w:val="1"/>
      <w:numFmt w:val="decimal"/>
      <w:lvlText w:val="%1."/>
      <w:lvlJc w:val="left"/>
      <w:pPr>
        <w:ind w:left="900" w:hanging="360"/>
      </w:pPr>
    </w:lvl>
    <w:lvl w:ilvl="1" w:tplc="08090019">
      <w:start w:val="1"/>
      <w:numFmt w:val="lowerLetter"/>
      <w:lvlText w:val="%2."/>
      <w:lvlJc w:val="left"/>
      <w:pPr>
        <w:ind w:left="1620" w:hanging="360"/>
      </w:pPr>
    </w:lvl>
    <w:lvl w:ilvl="2" w:tplc="0809001B">
      <w:start w:val="1"/>
      <w:numFmt w:val="lowerRoman"/>
      <w:lvlText w:val="%3."/>
      <w:lvlJc w:val="right"/>
      <w:pPr>
        <w:ind w:left="2340" w:hanging="180"/>
      </w:pPr>
    </w:lvl>
    <w:lvl w:ilvl="3" w:tplc="0809000F">
      <w:start w:val="1"/>
      <w:numFmt w:val="decimal"/>
      <w:lvlText w:val="%4."/>
      <w:lvlJc w:val="left"/>
      <w:pPr>
        <w:ind w:left="3060" w:hanging="360"/>
      </w:pPr>
    </w:lvl>
    <w:lvl w:ilvl="4" w:tplc="08090019">
      <w:start w:val="1"/>
      <w:numFmt w:val="lowerLetter"/>
      <w:lvlText w:val="%5."/>
      <w:lvlJc w:val="left"/>
      <w:pPr>
        <w:ind w:left="3780" w:hanging="360"/>
      </w:pPr>
    </w:lvl>
    <w:lvl w:ilvl="5" w:tplc="0809001B">
      <w:start w:val="1"/>
      <w:numFmt w:val="lowerRoman"/>
      <w:lvlText w:val="%6."/>
      <w:lvlJc w:val="right"/>
      <w:pPr>
        <w:ind w:left="4500" w:hanging="180"/>
      </w:pPr>
    </w:lvl>
    <w:lvl w:ilvl="6" w:tplc="0809000F">
      <w:start w:val="1"/>
      <w:numFmt w:val="decimal"/>
      <w:lvlText w:val="%7."/>
      <w:lvlJc w:val="left"/>
      <w:pPr>
        <w:ind w:left="5220" w:hanging="360"/>
      </w:pPr>
    </w:lvl>
    <w:lvl w:ilvl="7" w:tplc="08090019">
      <w:start w:val="1"/>
      <w:numFmt w:val="lowerLetter"/>
      <w:lvlText w:val="%8."/>
      <w:lvlJc w:val="left"/>
      <w:pPr>
        <w:ind w:left="5940" w:hanging="360"/>
      </w:pPr>
    </w:lvl>
    <w:lvl w:ilvl="8" w:tplc="0809001B">
      <w:start w:val="1"/>
      <w:numFmt w:val="lowerRoman"/>
      <w:lvlText w:val="%9."/>
      <w:lvlJc w:val="right"/>
      <w:pPr>
        <w:ind w:left="6660" w:hanging="180"/>
      </w:pPr>
    </w:lvl>
  </w:abstractNum>
  <w:abstractNum w:abstractNumId="3" w15:restartNumberingAfterBreak="0">
    <w:nsid w:val="060640F3"/>
    <w:multiLevelType w:val="hybridMultilevel"/>
    <w:tmpl w:val="F5FED2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96926B0"/>
    <w:multiLevelType w:val="hybridMultilevel"/>
    <w:tmpl w:val="E4C4E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E5749"/>
    <w:multiLevelType w:val="hybridMultilevel"/>
    <w:tmpl w:val="C6F8A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73C5D"/>
    <w:multiLevelType w:val="hybridMultilevel"/>
    <w:tmpl w:val="E0BE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321A04"/>
    <w:multiLevelType w:val="multilevel"/>
    <w:tmpl w:val="7B34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B7049"/>
    <w:multiLevelType w:val="multilevel"/>
    <w:tmpl w:val="CE54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224A5"/>
    <w:multiLevelType w:val="hybridMultilevel"/>
    <w:tmpl w:val="E9F6FF9A"/>
    <w:lvl w:ilvl="0" w:tplc="04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2840541"/>
    <w:multiLevelType w:val="hybridMultilevel"/>
    <w:tmpl w:val="4A1696A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1D5065"/>
    <w:multiLevelType w:val="multilevel"/>
    <w:tmpl w:val="00E4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861AE6"/>
    <w:multiLevelType w:val="hybridMultilevel"/>
    <w:tmpl w:val="2428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AF23FE"/>
    <w:multiLevelType w:val="hybridMultilevel"/>
    <w:tmpl w:val="EE56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26F31"/>
    <w:multiLevelType w:val="hybridMultilevel"/>
    <w:tmpl w:val="9B9A0B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9E41E63"/>
    <w:multiLevelType w:val="hybridMultilevel"/>
    <w:tmpl w:val="C6728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FE6F39"/>
    <w:multiLevelType w:val="hybridMultilevel"/>
    <w:tmpl w:val="4E58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7F0A92"/>
    <w:multiLevelType w:val="hybridMultilevel"/>
    <w:tmpl w:val="FFDE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82143"/>
    <w:multiLevelType w:val="multilevel"/>
    <w:tmpl w:val="727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947066"/>
    <w:multiLevelType w:val="multilevel"/>
    <w:tmpl w:val="7B7C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912E24"/>
    <w:multiLevelType w:val="hybridMultilevel"/>
    <w:tmpl w:val="D1845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A532B"/>
    <w:multiLevelType w:val="hybridMultilevel"/>
    <w:tmpl w:val="BA78089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 w15:restartNumberingAfterBreak="0">
    <w:nsid w:val="76057EE9"/>
    <w:multiLevelType w:val="hybridMultilevel"/>
    <w:tmpl w:val="2020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0"/>
  </w:num>
  <w:num w:numId="4">
    <w:abstractNumId w:val="1"/>
  </w:num>
  <w:num w:numId="5">
    <w:abstractNumId w:val="22"/>
  </w:num>
  <w:num w:numId="6">
    <w:abstractNumId w:val="11"/>
  </w:num>
  <w:num w:numId="7">
    <w:abstractNumId w:val="19"/>
  </w:num>
  <w:num w:numId="8">
    <w:abstractNumId w:val="16"/>
  </w:num>
  <w:num w:numId="9">
    <w:abstractNumId w:val="18"/>
  </w:num>
  <w:num w:numId="10">
    <w:abstractNumId w:val="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4"/>
  </w:num>
  <w:num w:numId="16">
    <w:abstractNumId w:val="6"/>
  </w:num>
  <w:num w:numId="17">
    <w:abstractNumId w:val="8"/>
  </w:num>
  <w:num w:numId="18">
    <w:abstractNumId w:val="15"/>
  </w:num>
  <w:num w:numId="19">
    <w:abstractNumId w:val="5"/>
  </w:num>
  <w:num w:numId="20">
    <w:abstractNumId w:val="0"/>
  </w:num>
  <w:num w:numId="21">
    <w:abstractNumId w:val="20"/>
  </w:num>
  <w:num w:numId="22">
    <w:abstractNumId w:val="17"/>
  </w:num>
  <w:num w:numId="23">
    <w:abstractNumId w:val="4"/>
  </w:num>
  <w:num w:numId="2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4CE"/>
    <w:rsid w:val="00003524"/>
    <w:rsid w:val="00005382"/>
    <w:rsid w:val="00011713"/>
    <w:rsid w:val="0001322B"/>
    <w:rsid w:val="00014513"/>
    <w:rsid w:val="000230C1"/>
    <w:rsid w:val="00023264"/>
    <w:rsid w:val="0002416E"/>
    <w:rsid w:val="00032B4C"/>
    <w:rsid w:val="00033DCD"/>
    <w:rsid w:val="00042EAE"/>
    <w:rsid w:val="00046515"/>
    <w:rsid w:val="00060839"/>
    <w:rsid w:val="00064B1B"/>
    <w:rsid w:val="00065D9E"/>
    <w:rsid w:val="00073107"/>
    <w:rsid w:val="00076CE8"/>
    <w:rsid w:val="00081A13"/>
    <w:rsid w:val="000873A2"/>
    <w:rsid w:val="00093154"/>
    <w:rsid w:val="000937FC"/>
    <w:rsid w:val="00094498"/>
    <w:rsid w:val="000974B7"/>
    <w:rsid w:val="000A2917"/>
    <w:rsid w:val="000B441D"/>
    <w:rsid w:val="000B5F9F"/>
    <w:rsid w:val="000C0484"/>
    <w:rsid w:val="000C2064"/>
    <w:rsid w:val="000C30A3"/>
    <w:rsid w:val="000C331F"/>
    <w:rsid w:val="000C4750"/>
    <w:rsid w:val="000C705F"/>
    <w:rsid w:val="000D103D"/>
    <w:rsid w:val="000D2F8C"/>
    <w:rsid w:val="000D307B"/>
    <w:rsid w:val="000D41C3"/>
    <w:rsid w:val="000D4DFA"/>
    <w:rsid w:val="000E027C"/>
    <w:rsid w:val="000E53B2"/>
    <w:rsid w:val="000E6207"/>
    <w:rsid w:val="000F2087"/>
    <w:rsid w:val="000F454E"/>
    <w:rsid w:val="000F7DB8"/>
    <w:rsid w:val="00101504"/>
    <w:rsid w:val="00102A8F"/>
    <w:rsid w:val="00111490"/>
    <w:rsid w:val="00116C8D"/>
    <w:rsid w:val="00121B1E"/>
    <w:rsid w:val="001222BD"/>
    <w:rsid w:val="00142AB0"/>
    <w:rsid w:val="00144EDB"/>
    <w:rsid w:val="00146E82"/>
    <w:rsid w:val="0015008A"/>
    <w:rsid w:val="00154142"/>
    <w:rsid w:val="001562A0"/>
    <w:rsid w:val="001670F4"/>
    <w:rsid w:val="00170BFD"/>
    <w:rsid w:val="001722A5"/>
    <w:rsid w:val="001743AC"/>
    <w:rsid w:val="00174B3D"/>
    <w:rsid w:val="00174B8E"/>
    <w:rsid w:val="00175F26"/>
    <w:rsid w:val="00180FCE"/>
    <w:rsid w:val="001814BE"/>
    <w:rsid w:val="001825EB"/>
    <w:rsid w:val="00185F49"/>
    <w:rsid w:val="00186CEB"/>
    <w:rsid w:val="00190E64"/>
    <w:rsid w:val="0019306D"/>
    <w:rsid w:val="00195343"/>
    <w:rsid w:val="001A0EEF"/>
    <w:rsid w:val="001A38FC"/>
    <w:rsid w:val="001A4184"/>
    <w:rsid w:val="001B253A"/>
    <w:rsid w:val="001B3306"/>
    <w:rsid w:val="001B3738"/>
    <w:rsid w:val="001B6907"/>
    <w:rsid w:val="001C21AA"/>
    <w:rsid w:val="001C75D8"/>
    <w:rsid w:val="001D144C"/>
    <w:rsid w:val="001D3FB1"/>
    <w:rsid w:val="001D779A"/>
    <w:rsid w:val="001E18DB"/>
    <w:rsid w:val="001E40EB"/>
    <w:rsid w:val="001E571B"/>
    <w:rsid w:val="001E6001"/>
    <w:rsid w:val="001E7AEF"/>
    <w:rsid w:val="001E7BD6"/>
    <w:rsid w:val="00203FAB"/>
    <w:rsid w:val="00205AB4"/>
    <w:rsid w:val="00207A34"/>
    <w:rsid w:val="00211F81"/>
    <w:rsid w:val="0021257B"/>
    <w:rsid w:val="0021432D"/>
    <w:rsid w:val="0022798F"/>
    <w:rsid w:val="002316AF"/>
    <w:rsid w:val="00231D99"/>
    <w:rsid w:val="00234E62"/>
    <w:rsid w:val="00236FBA"/>
    <w:rsid w:val="00237C54"/>
    <w:rsid w:val="00240317"/>
    <w:rsid w:val="002427E8"/>
    <w:rsid w:val="00250880"/>
    <w:rsid w:val="00261149"/>
    <w:rsid w:val="00267920"/>
    <w:rsid w:val="00270DA0"/>
    <w:rsid w:val="00273C6F"/>
    <w:rsid w:val="00275F6E"/>
    <w:rsid w:val="0028777B"/>
    <w:rsid w:val="00287929"/>
    <w:rsid w:val="002907D5"/>
    <w:rsid w:val="002A2AD8"/>
    <w:rsid w:val="002A4FE2"/>
    <w:rsid w:val="002B5BDE"/>
    <w:rsid w:val="002B75A8"/>
    <w:rsid w:val="002C2359"/>
    <w:rsid w:val="002C2D8B"/>
    <w:rsid w:val="002D682D"/>
    <w:rsid w:val="002E1CA6"/>
    <w:rsid w:val="002E32E3"/>
    <w:rsid w:val="002E3C4D"/>
    <w:rsid w:val="002E5218"/>
    <w:rsid w:val="002F0C77"/>
    <w:rsid w:val="002F1FA9"/>
    <w:rsid w:val="00302549"/>
    <w:rsid w:val="003041FE"/>
    <w:rsid w:val="00313B82"/>
    <w:rsid w:val="003157A9"/>
    <w:rsid w:val="00315AB2"/>
    <w:rsid w:val="00320FA6"/>
    <w:rsid w:val="003244B8"/>
    <w:rsid w:val="00324D9E"/>
    <w:rsid w:val="0032536A"/>
    <w:rsid w:val="00327216"/>
    <w:rsid w:val="00327852"/>
    <w:rsid w:val="0033103E"/>
    <w:rsid w:val="00331680"/>
    <w:rsid w:val="003332A3"/>
    <w:rsid w:val="00333E9C"/>
    <w:rsid w:val="003470EE"/>
    <w:rsid w:val="003659E2"/>
    <w:rsid w:val="00365CF3"/>
    <w:rsid w:val="00382D1C"/>
    <w:rsid w:val="00384913"/>
    <w:rsid w:val="00395CFD"/>
    <w:rsid w:val="003B0C92"/>
    <w:rsid w:val="003B1CC0"/>
    <w:rsid w:val="003C1FD5"/>
    <w:rsid w:val="003C384E"/>
    <w:rsid w:val="003C47C4"/>
    <w:rsid w:val="003C5073"/>
    <w:rsid w:val="003C524F"/>
    <w:rsid w:val="003C7529"/>
    <w:rsid w:val="003D1B66"/>
    <w:rsid w:val="003D620B"/>
    <w:rsid w:val="003E3EF4"/>
    <w:rsid w:val="003E4FD7"/>
    <w:rsid w:val="003E50FA"/>
    <w:rsid w:val="003E7CBB"/>
    <w:rsid w:val="003F170B"/>
    <w:rsid w:val="003F1B9A"/>
    <w:rsid w:val="003F315F"/>
    <w:rsid w:val="00404A1D"/>
    <w:rsid w:val="00410771"/>
    <w:rsid w:val="00413568"/>
    <w:rsid w:val="00421D83"/>
    <w:rsid w:val="0042577A"/>
    <w:rsid w:val="00426D38"/>
    <w:rsid w:val="00433B70"/>
    <w:rsid w:val="0043550A"/>
    <w:rsid w:val="00441BAF"/>
    <w:rsid w:val="00445613"/>
    <w:rsid w:val="004501C0"/>
    <w:rsid w:val="004560C5"/>
    <w:rsid w:val="00457C97"/>
    <w:rsid w:val="00470F24"/>
    <w:rsid w:val="00475B63"/>
    <w:rsid w:val="0048144F"/>
    <w:rsid w:val="004820C1"/>
    <w:rsid w:val="00482E54"/>
    <w:rsid w:val="00483716"/>
    <w:rsid w:val="004843AB"/>
    <w:rsid w:val="00484B36"/>
    <w:rsid w:val="00484F51"/>
    <w:rsid w:val="004920B3"/>
    <w:rsid w:val="004972F6"/>
    <w:rsid w:val="004A5AA1"/>
    <w:rsid w:val="004A7560"/>
    <w:rsid w:val="004B2A30"/>
    <w:rsid w:val="004B32E9"/>
    <w:rsid w:val="004C0F1A"/>
    <w:rsid w:val="004C23A2"/>
    <w:rsid w:val="004C3008"/>
    <w:rsid w:val="004D24F9"/>
    <w:rsid w:val="004D54B8"/>
    <w:rsid w:val="004E15FB"/>
    <w:rsid w:val="004E6AC1"/>
    <w:rsid w:val="00503F79"/>
    <w:rsid w:val="005105E2"/>
    <w:rsid w:val="00511664"/>
    <w:rsid w:val="00515A97"/>
    <w:rsid w:val="005307D1"/>
    <w:rsid w:val="00532940"/>
    <w:rsid w:val="0053362C"/>
    <w:rsid w:val="005441F6"/>
    <w:rsid w:val="00546109"/>
    <w:rsid w:val="005466A9"/>
    <w:rsid w:val="0055106D"/>
    <w:rsid w:val="005517F1"/>
    <w:rsid w:val="00552778"/>
    <w:rsid w:val="005548C1"/>
    <w:rsid w:val="00566CF8"/>
    <w:rsid w:val="005724DC"/>
    <w:rsid w:val="00574F67"/>
    <w:rsid w:val="00575A04"/>
    <w:rsid w:val="0058394F"/>
    <w:rsid w:val="0059030F"/>
    <w:rsid w:val="00594A14"/>
    <w:rsid w:val="00594B15"/>
    <w:rsid w:val="005950B2"/>
    <w:rsid w:val="005A4FC9"/>
    <w:rsid w:val="005A5C7E"/>
    <w:rsid w:val="005A6565"/>
    <w:rsid w:val="005B519A"/>
    <w:rsid w:val="005B67D9"/>
    <w:rsid w:val="005C38BC"/>
    <w:rsid w:val="005C6E35"/>
    <w:rsid w:val="005C70BD"/>
    <w:rsid w:val="005E4183"/>
    <w:rsid w:val="005E5766"/>
    <w:rsid w:val="005E6C55"/>
    <w:rsid w:val="005F2C5E"/>
    <w:rsid w:val="005F60DB"/>
    <w:rsid w:val="0061188E"/>
    <w:rsid w:val="00614EF5"/>
    <w:rsid w:val="006176AA"/>
    <w:rsid w:val="00622BC1"/>
    <w:rsid w:val="00623D99"/>
    <w:rsid w:val="006245A0"/>
    <w:rsid w:val="00624CB5"/>
    <w:rsid w:val="00637222"/>
    <w:rsid w:val="006424A1"/>
    <w:rsid w:val="00643BF1"/>
    <w:rsid w:val="00646FA6"/>
    <w:rsid w:val="00652DCE"/>
    <w:rsid w:val="006536F3"/>
    <w:rsid w:val="00656873"/>
    <w:rsid w:val="006604DB"/>
    <w:rsid w:val="00670AB9"/>
    <w:rsid w:val="00670AE9"/>
    <w:rsid w:val="00673289"/>
    <w:rsid w:val="00681FE8"/>
    <w:rsid w:val="00690B7B"/>
    <w:rsid w:val="006918C2"/>
    <w:rsid w:val="00693278"/>
    <w:rsid w:val="00697A44"/>
    <w:rsid w:val="006B575E"/>
    <w:rsid w:val="006B7FC2"/>
    <w:rsid w:val="006C2CD2"/>
    <w:rsid w:val="006C43D2"/>
    <w:rsid w:val="006C54D7"/>
    <w:rsid w:val="006D262E"/>
    <w:rsid w:val="006D54D7"/>
    <w:rsid w:val="006D59C5"/>
    <w:rsid w:val="006D644D"/>
    <w:rsid w:val="006D6DAF"/>
    <w:rsid w:val="006E0BB1"/>
    <w:rsid w:val="006E224C"/>
    <w:rsid w:val="006E5A85"/>
    <w:rsid w:val="006F0E30"/>
    <w:rsid w:val="006F3FB6"/>
    <w:rsid w:val="007039B3"/>
    <w:rsid w:val="00703A42"/>
    <w:rsid w:val="00711322"/>
    <w:rsid w:val="00712E02"/>
    <w:rsid w:val="00716D35"/>
    <w:rsid w:val="00717A9F"/>
    <w:rsid w:val="007214D4"/>
    <w:rsid w:val="00722AF6"/>
    <w:rsid w:val="00727F97"/>
    <w:rsid w:val="00734FEB"/>
    <w:rsid w:val="00741EB8"/>
    <w:rsid w:val="00745EC2"/>
    <w:rsid w:val="007501E1"/>
    <w:rsid w:val="00750643"/>
    <w:rsid w:val="00751555"/>
    <w:rsid w:val="00751A65"/>
    <w:rsid w:val="0075438B"/>
    <w:rsid w:val="007577C7"/>
    <w:rsid w:val="007626D0"/>
    <w:rsid w:val="00763FAE"/>
    <w:rsid w:val="00772B92"/>
    <w:rsid w:val="00772FF9"/>
    <w:rsid w:val="007744FF"/>
    <w:rsid w:val="00776C9F"/>
    <w:rsid w:val="00784D86"/>
    <w:rsid w:val="00787A4D"/>
    <w:rsid w:val="00791222"/>
    <w:rsid w:val="007954B3"/>
    <w:rsid w:val="00795828"/>
    <w:rsid w:val="00795918"/>
    <w:rsid w:val="007A6965"/>
    <w:rsid w:val="007A6A64"/>
    <w:rsid w:val="007A706F"/>
    <w:rsid w:val="007B1517"/>
    <w:rsid w:val="007B61BD"/>
    <w:rsid w:val="007B6479"/>
    <w:rsid w:val="007C7C7D"/>
    <w:rsid w:val="007D5239"/>
    <w:rsid w:val="007E319F"/>
    <w:rsid w:val="007F64FA"/>
    <w:rsid w:val="007F705C"/>
    <w:rsid w:val="00804138"/>
    <w:rsid w:val="00804DDF"/>
    <w:rsid w:val="00805EF5"/>
    <w:rsid w:val="0080602A"/>
    <w:rsid w:val="0081004D"/>
    <w:rsid w:val="00810896"/>
    <w:rsid w:val="008133A8"/>
    <w:rsid w:val="008154D8"/>
    <w:rsid w:val="00817103"/>
    <w:rsid w:val="00821935"/>
    <w:rsid w:val="00825805"/>
    <w:rsid w:val="00825A1F"/>
    <w:rsid w:val="008325C5"/>
    <w:rsid w:val="00832E82"/>
    <w:rsid w:val="0083520C"/>
    <w:rsid w:val="00840780"/>
    <w:rsid w:val="00846BA7"/>
    <w:rsid w:val="00851FA4"/>
    <w:rsid w:val="00855972"/>
    <w:rsid w:val="00856D4D"/>
    <w:rsid w:val="008734A2"/>
    <w:rsid w:val="0088030C"/>
    <w:rsid w:val="008808E2"/>
    <w:rsid w:val="0089237F"/>
    <w:rsid w:val="00893B7F"/>
    <w:rsid w:val="008962AC"/>
    <w:rsid w:val="008A1036"/>
    <w:rsid w:val="008A6C63"/>
    <w:rsid w:val="008B126E"/>
    <w:rsid w:val="008B2250"/>
    <w:rsid w:val="008B450E"/>
    <w:rsid w:val="008B7792"/>
    <w:rsid w:val="008C3BD3"/>
    <w:rsid w:val="008C40CA"/>
    <w:rsid w:val="008C4FCF"/>
    <w:rsid w:val="008D1172"/>
    <w:rsid w:val="008D4838"/>
    <w:rsid w:val="008E1705"/>
    <w:rsid w:val="008E3B81"/>
    <w:rsid w:val="008E62C6"/>
    <w:rsid w:val="008E72EC"/>
    <w:rsid w:val="008F4556"/>
    <w:rsid w:val="00910AD4"/>
    <w:rsid w:val="00910DB7"/>
    <w:rsid w:val="00912330"/>
    <w:rsid w:val="009258C6"/>
    <w:rsid w:val="0092743F"/>
    <w:rsid w:val="00933225"/>
    <w:rsid w:val="00937A3C"/>
    <w:rsid w:val="00942E86"/>
    <w:rsid w:val="0094769A"/>
    <w:rsid w:val="0096353D"/>
    <w:rsid w:val="00964217"/>
    <w:rsid w:val="00972E86"/>
    <w:rsid w:val="00992413"/>
    <w:rsid w:val="00992B5E"/>
    <w:rsid w:val="00993024"/>
    <w:rsid w:val="00993183"/>
    <w:rsid w:val="00995BE4"/>
    <w:rsid w:val="009A229D"/>
    <w:rsid w:val="009B0CB6"/>
    <w:rsid w:val="009B595C"/>
    <w:rsid w:val="009B601B"/>
    <w:rsid w:val="009B6C0A"/>
    <w:rsid w:val="009B7F97"/>
    <w:rsid w:val="009C1864"/>
    <w:rsid w:val="009C1E12"/>
    <w:rsid w:val="009C5785"/>
    <w:rsid w:val="009D0A94"/>
    <w:rsid w:val="009D7A24"/>
    <w:rsid w:val="009E0A99"/>
    <w:rsid w:val="009E2398"/>
    <w:rsid w:val="009E35FA"/>
    <w:rsid w:val="009E7D54"/>
    <w:rsid w:val="009F5887"/>
    <w:rsid w:val="009F6678"/>
    <w:rsid w:val="00A152D0"/>
    <w:rsid w:val="00A17E64"/>
    <w:rsid w:val="00A17E6C"/>
    <w:rsid w:val="00A23671"/>
    <w:rsid w:val="00A24D37"/>
    <w:rsid w:val="00A24F8E"/>
    <w:rsid w:val="00A27831"/>
    <w:rsid w:val="00A45944"/>
    <w:rsid w:val="00A46207"/>
    <w:rsid w:val="00A5128B"/>
    <w:rsid w:val="00A53751"/>
    <w:rsid w:val="00A66305"/>
    <w:rsid w:val="00A66562"/>
    <w:rsid w:val="00A670E3"/>
    <w:rsid w:val="00A841F0"/>
    <w:rsid w:val="00A92B6F"/>
    <w:rsid w:val="00A95076"/>
    <w:rsid w:val="00A970DC"/>
    <w:rsid w:val="00AA1155"/>
    <w:rsid w:val="00AA5DC5"/>
    <w:rsid w:val="00AA7B78"/>
    <w:rsid w:val="00AB0D7D"/>
    <w:rsid w:val="00AB579D"/>
    <w:rsid w:val="00AC1F9B"/>
    <w:rsid w:val="00AC2AB4"/>
    <w:rsid w:val="00AC6607"/>
    <w:rsid w:val="00AD423C"/>
    <w:rsid w:val="00AD5094"/>
    <w:rsid w:val="00AE009F"/>
    <w:rsid w:val="00AE7285"/>
    <w:rsid w:val="00AF292F"/>
    <w:rsid w:val="00AF3072"/>
    <w:rsid w:val="00AF671C"/>
    <w:rsid w:val="00AF776D"/>
    <w:rsid w:val="00B0032F"/>
    <w:rsid w:val="00B02D3E"/>
    <w:rsid w:val="00B04E45"/>
    <w:rsid w:val="00B0524B"/>
    <w:rsid w:val="00B07886"/>
    <w:rsid w:val="00B23CF2"/>
    <w:rsid w:val="00B264E6"/>
    <w:rsid w:val="00B31015"/>
    <w:rsid w:val="00B32980"/>
    <w:rsid w:val="00B402F9"/>
    <w:rsid w:val="00B424CE"/>
    <w:rsid w:val="00B428A5"/>
    <w:rsid w:val="00B51326"/>
    <w:rsid w:val="00B57D8A"/>
    <w:rsid w:val="00B609D5"/>
    <w:rsid w:val="00B63780"/>
    <w:rsid w:val="00B63E2C"/>
    <w:rsid w:val="00B703DD"/>
    <w:rsid w:val="00B707B4"/>
    <w:rsid w:val="00B71222"/>
    <w:rsid w:val="00B712BA"/>
    <w:rsid w:val="00B72B34"/>
    <w:rsid w:val="00B740B9"/>
    <w:rsid w:val="00B80AD1"/>
    <w:rsid w:val="00B815C3"/>
    <w:rsid w:val="00B82AB3"/>
    <w:rsid w:val="00B82DA3"/>
    <w:rsid w:val="00B8373C"/>
    <w:rsid w:val="00B92B4B"/>
    <w:rsid w:val="00B97458"/>
    <w:rsid w:val="00BA160C"/>
    <w:rsid w:val="00BA624A"/>
    <w:rsid w:val="00BA72F3"/>
    <w:rsid w:val="00BB067B"/>
    <w:rsid w:val="00BC138B"/>
    <w:rsid w:val="00BC2414"/>
    <w:rsid w:val="00BC3866"/>
    <w:rsid w:val="00BC5961"/>
    <w:rsid w:val="00BC6355"/>
    <w:rsid w:val="00BC74C3"/>
    <w:rsid w:val="00BD149C"/>
    <w:rsid w:val="00BD24F2"/>
    <w:rsid w:val="00BD6E1E"/>
    <w:rsid w:val="00BE2C5A"/>
    <w:rsid w:val="00BF4423"/>
    <w:rsid w:val="00BF7A44"/>
    <w:rsid w:val="00C0172D"/>
    <w:rsid w:val="00C02D86"/>
    <w:rsid w:val="00C103FB"/>
    <w:rsid w:val="00C27DB5"/>
    <w:rsid w:val="00C31262"/>
    <w:rsid w:val="00C34350"/>
    <w:rsid w:val="00C35165"/>
    <w:rsid w:val="00C36766"/>
    <w:rsid w:val="00C44F20"/>
    <w:rsid w:val="00C4609E"/>
    <w:rsid w:val="00C46D25"/>
    <w:rsid w:val="00C47194"/>
    <w:rsid w:val="00C50386"/>
    <w:rsid w:val="00C53C61"/>
    <w:rsid w:val="00C558AC"/>
    <w:rsid w:val="00C56314"/>
    <w:rsid w:val="00C57978"/>
    <w:rsid w:val="00C6107A"/>
    <w:rsid w:val="00C615A2"/>
    <w:rsid w:val="00C62B2B"/>
    <w:rsid w:val="00C71AEC"/>
    <w:rsid w:val="00C73828"/>
    <w:rsid w:val="00C73EE0"/>
    <w:rsid w:val="00C74ED5"/>
    <w:rsid w:val="00C74F46"/>
    <w:rsid w:val="00C80746"/>
    <w:rsid w:val="00C80A50"/>
    <w:rsid w:val="00C845B2"/>
    <w:rsid w:val="00CA1D3E"/>
    <w:rsid w:val="00CA3483"/>
    <w:rsid w:val="00CB1808"/>
    <w:rsid w:val="00CB1C28"/>
    <w:rsid w:val="00CB529D"/>
    <w:rsid w:val="00CB608C"/>
    <w:rsid w:val="00CC4C98"/>
    <w:rsid w:val="00CC6DD4"/>
    <w:rsid w:val="00CD3EFB"/>
    <w:rsid w:val="00CD5EEC"/>
    <w:rsid w:val="00CE4307"/>
    <w:rsid w:val="00CF1DA9"/>
    <w:rsid w:val="00CF2ABA"/>
    <w:rsid w:val="00CF7450"/>
    <w:rsid w:val="00D0680D"/>
    <w:rsid w:val="00D12DB8"/>
    <w:rsid w:val="00D152BC"/>
    <w:rsid w:val="00D15E52"/>
    <w:rsid w:val="00D17B2B"/>
    <w:rsid w:val="00D305CD"/>
    <w:rsid w:val="00D3377B"/>
    <w:rsid w:val="00D42B74"/>
    <w:rsid w:val="00D5024F"/>
    <w:rsid w:val="00D538E9"/>
    <w:rsid w:val="00D576EA"/>
    <w:rsid w:val="00D60BAC"/>
    <w:rsid w:val="00D66427"/>
    <w:rsid w:val="00D72527"/>
    <w:rsid w:val="00D74D5E"/>
    <w:rsid w:val="00D75BD8"/>
    <w:rsid w:val="00D7724F"/>
    <w:rsid w:val="00D84C5F"/>
    <w:rsid w:val="00D8566C"/>
    <w:rsid w:val="00D87AD5"/>
    <w:rsid w:val="00D94EB6"/>
    <w:rsid w:val="00D96C88"/>
    <w:rsid w:val="00DA3EDD"/>
    <w:rsid w:val="00DA44F9"/>
    <w:rsid w:val="00DA6F1D"/>
    <w:rsid w:val="00DA7501"/>
    <w:rsid w:val="00DB0CCE"/>
    <w:rsid w:val="00DC257E"/>
    <w:rsid w:val="00DC45D0"/>
    <w:rsid w:val="00DC472F"/>
    <w:rsid w:val="00DD096C"/>
    <w:rsid w:val="00DD1B39"/>
    <w:rsid w:val="00DD2333"/>
    <w:rsid w:val="00DD255A"/>
    <w:rsid w:val="00DD5561"/>
    <w:rsid w:val="00DD5C40"/>
    <w:rsid w:val="00DD5E46"/>
    <w:rsid w:val="00DD6E94"/>
    <w:rsid w:val="00DD6EFD"/>
    <w:rsid w:val="00DF013C"/>
    <w:rsid w:val="00DF0994"/>
    <w:rsid w:val="00DF13A7"/>
    <w:rsid w:val="00DF3C1F"/>
    <w:rsid w:val="00DF664E"/>
    <w:rsid w:val="00DF72D0"/>
    <w:rsid w:val="00E02BB6"/>
    <w:rsid w:val="00E144DA"/>
    <w:rsid w:val="00E16B31"/>
    <w:rsid w:val="00E20071"/>
    <w:rsid w:val="00E2522C"/>
    <w:rsid w:val="00E25B26"/>
    <w:rsid w:val="00E25DB6"/>
    <w:rsid w:val="00E273EE"/>
    <w:rsid w:val="00E32FF8"/>
    <w:rsid w:val="00E3311A"/>
    <w:rsid w:val="00E41914"/>
    <w:rsid w:val="00E45FFF"/>
    <w:rsid w:val="00E54D7F"/>
    <w:rsid w:val="00E57C13"/>
    <w:rsid w:val="00E77126"/>
    <w:rsid w:val="00E778E6"/>
    <w:rsid w:val="00E83853"/>
    <w:rsid w:val="00E8389E"/>
    <w:rsid w:val="00E84F34"/>
    <w:rsid w:val="00E851AB"/>
    <w:rsid w:val="00E85CD0"/>
    <w:rsid w:val="00E85FA4"/>
    <w:rsid w:val="00E91FA2"/>
    <w:rsid w:val="00E93AE5"/>
    <w:rsid w:val="00E951EA"/>
    <w:rsid w:val="00EA6B69"/>
    <w:rsid w:val="00EB5EE4"/>
    <w:rsid w:val="00EB62B4"/>
    <w:rsid w:val="00EB6F5D"/>
    <w:rsid w:val="00EB7CA2"/>
    <w:rsid w:val="00EC01EF"/>
    <w:rsid w:val="00EC3669"/>
    <w:rsid w:val="00ED7532"/>
    <w:rsid w:val="00EE0D66"/>
    <w:rsid w:val="00EE32C0"/>
    <w:rsid w:val="00EE3BF0"/>
    <w:rsid w:val="00EE46A5"/>
    <w:rsid w:val="00EE7CEA"/>
    <w:rsid w:val="00EF2E40"/>
    <w:rsid w:val="00EF4F64"/>
    <w:rsid w:val="00F026A7"/>
    <w:rsid w:val="00F02ACF"/>
    <w:rsid w:val="00F03143"/>
    <w:rsid w:val="00F03ABD"/>
    <w:rsid w:val="00F067B6"/>
    <w:rsid w:val="00F10D0D"/>
    <w:rsid w:val="00F203A1"/>
    <w:rsid w:val="00F2226F"/>
    <w:rsid w:val="00F24800"/>
    <w:rsid w:val="00F264D7"/>
    <w:rsid w:val="00F30CDC"/>
    <w:rsid w:val="00F312B6"/>
    <w:rsid w:val="00F31977"/>
    <w:rsid w:val="00F3768A"/>
    <w:rsid w:val="00F4253F"/>
    <w:rsid w:val="00F45CC3"/>
    <w:rsid w:val="00F50A9E"/>
    <w:rsid w:val="00F51D7E"/>
    <w:rsid w:val="00F53F16"/>
    <w:rsid w:val="00F55554"/>
    <w:rsid w:val="00F55B5A"/>
    <w:rsid w:val="00F57665"/>
    <w:rsid w:val="00F60622"/>
    <w:rsid w:val="00F626E3"/>
    <w:rsid w:val="00F64C6D"/>
    <w:rsid w:val="00F70FE5"/>
    <w:rsid w:val="00F722A0"/>
    <w:rsid w:val="00F72DC5"/>
    <w:rsid w:val="00F737D3"/>
    <w:rsid w:val="00F747ED"/>
    <w:rsid w:val="00F75ECF"/>
    <w:rsid w:val="00F763BC"/>
    <w:rsid w:val="00F82095"/>
    <w:rsid w:val="00F830A8"/>
    <w:rsid w:val="00F85E80"/>
    <w:rsid w:val="00F90CB5"/>
    <w:rsid w:val="00F911A5"/>
    <w:rsid w:val="00F91431"/>
    <w:rsid w:val="00F9755C"/>
    <w:rsid w:val="00FA3BE9"/>
    <w:rsid w:val="00FA7143"/>
    <w:rsid w:val="00FA7D80"/>
    <w:rsid w:val="00FB14CC"/>
    <w:rsid w:val="00FB27D3"/>
    <w:rsid w:val="00FB4018"/>
    <w:rsid w:val="00FB487A"/>
    <w:rsid w:val="00FC0EBF"/>
    <w:rsid w:val="00FD4225"/>
    <w:rsid w:val="00FD5DB8"/>
    <w:rsid w:val="00FF016C"/>
    <w:rsid w:val="00FF1162"/>
    <w:rsid w:val="2EDB39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2F9B6"/>
  <w15:chartTrackingRefBased/>
  <w15:docId w15:val="{48BD5111-C36A-429C-A714-E51406C3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424CE"/>
    <w:rPr>
      <w:sz w:val="22"/>
      <w:szCs w:val="22"/>
      <w:lang w:val="en-GB" w:eastAsia="en-US"/>
    </w:rPr>
  </w:style>
  <w:style w:type="paragraph" w:styleId="Heading1">
    <w:name w:val="heading 1"/>
    <w:basedOn w:val="Normal"/>
    <w:link w:val="Heading1Char"/>
    <w:uiPriority w:val="9"/>
    <w:qFormat/>
    <w:rsid w:val="005C70BD"/>
    <w:pPr>
      <w:spacing w:before="100" w:beforeAutospacing="1" w:after="100" w:afterAutospacing="1"/>
      <w:outlineLvl w:val="0"/>
    </w:pPr>
    <w:rPr>
      <w:rFonts w:ascii="Times New Roman" w:eastAsia="Times New Roman" w:hAnsi="Times New Roman"/>
      <w:b/>
      <w:bCs/>
      <w:kern w:val="36"/>
      <w:sz w:val="48"/>
      <w:szCs w:val="48"/>
      <w:lang w:val="x-none" w:eastAsia="x-none"/>
    </w:rPr>
  </w:style>
  <w:style w:type="paragraph" w:styleId="Heading2">
    <w:name w:val="heading 2"/>
    <w:basedOn w:val="Normal"/>
    <w:link w:val="Heading2Char"/>
    <w:uiPriority w:val="9"/>
    <w:qFormat/>
    <w:rsid w:val="005C70BD"/>
    <w:pPr>
      <w:spacing w:before="100" w:beforeAutospacing="1" w:after="100" w:afterAutospacing="1"/>
      <w:outlineLvl w:val="1"/>
    </w:pPr>
    <w:rPr>
      <w:rFonts w:ascii="Times New Roman" w:eastAsia="Times New Roman" w:hAnsi="Times New Roman"/>
      <w:b/>
      <w:bCs/>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424CE"/>
  </w:style>
  <w:style w:type="paragraph" w:styleId="ListParagraph">
    <w:name w:val="List Paragraph"/>
    <w:basedOn w:val="Normal"/>
    <w:uiPriority w:val="34"/>
    <w:qFormat/>
    <w:rsid w:val="001670F4"/>
    <w:pPr>
      <w:ind w:left="720"/>
    </w:pPr>
    <w:rPr>
      <w:lang w:eastAsia="en-GB"/>
    </w:rPr>
  </w:style>
  <w:style w:type="character" w:styleId="Hyperlink">
    <w:name w:val="Hyperlink"/>
    <w:rsid w:val="004501C0"/>
    <w:rPr>
      <w:color w:val="0000FF"/>
      <w:u w:val="single"/>
    </w:rPr>
  </w:style>
  <w:style w:type="paragraph" w:styleId="NormalWeb">
    <w:name w:val="Normal (Web)"/>
    <w:basedOn w:val="Normal"/>
    <w:uiPriority w:val="99"/>
    <w:rsid w:val="003E3EF4"/>
    <w:pPr>
      <w:spacing w:before="100" w:beforeAutospacing="1" w:after="100" w:afterAutospacing="1"/>
    </w:pPr>
    <w:rPr>
      <w:rFonts w:ascii="Times New Roman" w:eastAsia="Times New Roman" w:hAnsi="Times New Roman"/>
      <w:sz w:val="24"/>
      <w:szCs w:val="24"/>
      <w:lang w:val="en-US"/>
    </w:rPr>
  </w:style>
  <w:style w:type="paragraph" w:styleId="PlainText">
    <w:name w:val="Plain Text"/>
    <w:basedOn w:val="Normal"/>
    <w:link w:val="PlainTextChar"/>
    <w:uiPriority w:val="99"/>
    <w:unhideWhenUsed/>
    <w:rsid w:val="00C46D25"/>
    <w:rPr>
      <w:szCs w:val="21"/>
      <w:lang w:val="x-none"/>
    </w:rPr>
  </w:style>
  <w:style w:type="character" w:customStyle="1" w:styleId="PlainTextChar">
    <w:name w:val="Plain Text Char"/>
    <w:link w:val="PlainText"/>
    <w:uiPriority w:val="99"/>
    <w:rsid w:val="00C46D25"/>
    <w:rPr>
      <w:rFonts w:cs="Consolas"/>
      <w:sz w:val="22"/>
      <w:szCs w:val="21"/>
      <w:lang w:eastAsia="en-US"/>
    </w:rPr>
  </w:style>
  <w:style w:type="paragraph" w:styleId="BalloonText">
    <w:name w:val="Balloon Text"/>
    <w:basedOn w:val="Normal"/>
    <w:link w:val="BalloonTextChar"/>
    <w:uiPriority w:val="99"/>
    <w:semiHidden/>
    <w:unhideWhenUsed/>
    <w:rsid w:val="00327216"/>
    <w:rPr>
      <w:rFonts w:ascii="Tahoma" w:hAnsi="Tahoma"/>
      <w:sz w:val="16"/>
      <w:szCs w:val="16"/>
      <w:lang w:val="x-none"/>
    </w:rPr>
  </w:style>
  <w:style w:type="character" w:customStyle="1" w:styleId="BalloonTextChar">
    <w:name w:val="Balloon Text Char"/>
    <w:link w:val="BalloonText"/>
    <w:uiPriority w:val="99"/>
    <w:semiHidden/>
    <w:rsid w:val="00327216"/>
    <w:rPr>
      <w:rFonts w:ascii="Tahoma" w:hAnsi="Tahoma" w:cs="Tahoma"/>
      <w:sz w:val="16"/>
      <w:szCs w:val="16"/>
      <w:lang w:eastAsia="en-US"/>
    </w:rPr>
  </w:style>
  <w:style w:type="character" w:customStyle="1" w:styleId="apple-converted-space">
    <w:name w:val="apple-converted-space"/>
    <w:basedOn w:val="DefaultParagraphFont"/>
    <w:rsid w:val="00623D99"/>
  </w:style>
  <w:style w:type="character" w:styleId="Strong">
    <w:name w:val="Strong"/>
    <w:uiPriority w:val="22"/>
    <w:qFormat/>
    <w:rsid w:val="00C47194"/>
    <w:rPr>
      <w:b/>
      <w:bCs/>
    </w:rPr>
  </w:style>
  <w:style w:type="paragraph" w:customStyle="1" w:styleId="inlinecaption">
    <w:name w:val="inline_caption"/>
    <w:basedOn w:val="Normal"/>
    <w:uiPriority w:val="99"/>
    <w:rsid w:val="00C31262"/>
    <w:pPr>
      <w:spacing w:before="100" w:beforeAutospacing="1" w:after="100" w:afterAutospacing="1"/>
    </w:pPr>
    <w:rPr>
      <w:rFonts w:ascii="Times New Roman" w:eastAsia="Times New Roman" w:hAnsi="Times New Roman"/>
      <w:sz w:val="24"/>
      <w:szCs w:val="24"/>
      <w:lang w:eastAsia="en-GB"/>
    </w:rPr>
  </w:style>
  <w:style w:type="character" w:styleId="Emphasis">
    <w:name w:val="Emphasis"/>
    <w:uiPriority w:val="20"/>
    <w:qFormat/>
    <w:rsid w:val="00C31262"/>
    <w:rPr>
      <w:i/>
      <w:iCs/>
    </w:rPr>
  </w:style>
  <w:style w:type="character" w:styleId="FollowedHyperlink">
    <w:name w:val="FollowedHyperlink"/>
    <w:uiPriority w:val="99"/>
    <w:semiHidden/>
    <w:unhideWhenUsed/>
    <w:rsid w:val="00CA3483"/>
    <w:rPr>
      <w:color w:val="800080"/>
      <w:u w:val="single"/>
    </w:rPr>
  </w:style>
  <w:style w:type="paragraph" w:customStyle="1" w:styleId="BasicParagraph">
    <w:name w:val="[Basic Paragraph]"/>
    <w:basedOn w:val="Normal"/>
    <w:uiPriority w:val="99"/>
    <w:rsid w:val="00AF776D"/>
    <w:pPr>
      <w:autoSpaceDE w:val="0"/>
      <w:autoSpaceDN w:val="0"/>
      <w:spacing w:line="288" w:lineRule="auto"/>
    </w:pPr>
    <w:rPr>
      <w:rFonts w:ascii="Minion Pro" w:hAnsi="Minion Pro"/>
      <w:color w:val="000000"/>
      <w:sz w:val="24"/>
      <w:szCs w:val="24"/>
    </w:rPr>
  </w:style>
  <w:style w:type="table" w:styleId="TableGrid">
    <w:name w:val="Table Grid"/>
    <w:basedOn w:val="TableNormal"/>
    <w:uiPriority w:val="59"/>
    <w:rsid w:val="000D4DF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70AE9"/>
    <w:rPr>
      <w:sz w:val="16"/>
      <w:szCs w:val="16"/>
    </w:rPr>
  </w:style>
  <w:style w:type="paragraph" w:styleId="CommentText">
    <w:name w:val="annotation text"/>
    <w:basedOn w:val="Normal"/>
    <w:link w:val="CommentTextChar"/>
    <w:uiPriority w:val="99"/>
    <w:semiHidden/>
    <w:unhideWhenUsed/>
    <w:rsid w:val="00670AE9"/>
    <w:rPr>
      <w:sz w:val="20"/>
      <w:szCs w:val="20"/>
      <w:lang w:val="x-none"/>
    </w:rPr>
  </w:style>
  <w:style w:type="character" w:customStyle="1" w:styleId="CommentTextChar">
    <w:name w:val="Comment Text Char"/>
    <w:link w:val="CommentText"/>
    <w:uiPriority w:val="99"/>
    <w:semiHidden/>
    <w:rsid w:val="00670AE9"/>
    <w:rPr>
      <w:lang w:eastAsia="en-US"/>
    </w:rPr>
  </w:style>
  <w:style w:type="paragraph" w:styleId="CommentSubject">
    <w:name w:val="annotation subject"/>
    <w:basedOn w:val="CommentText"/>
    <w:next w:val="CommentText"/>
    <w:link w:val="CommentSubjectChar"/>
    <w:uiPriority w:val="99"/>
    <w:semiHidden/>
    <w:unhideWhenUsed/>
    <w:rsid w:val="00670AE9"/>
    <w:rPr>
      <w:b/>
      <w:bCs/>
    </w:rPr>
  </w:style>
  <w:style w:type="character" w:customStyle="1" w:styleId="CommentSubjectChar">
    <w:name w:val="Comment Subject Char"/>
    <w:link w:val="CommentSubject"/>
    <w:uiPriority w:val="99"/>
    <w:semiHidden/>
    <w:rsid w:val="00670AE9"/>
    <w:rPr>
      <w:b/>
      <w:bCs/>
      <w:lang w:eastAsia="en-US"/>
    </w:rPr>
  </w:style>
  <w:style w:type="paragraph" w:styleId="NoSpacing">
    <w:name w:val="No Spacing"/>
    <w:uiPriority w:val="99"/>
    <w:qFormat/>
    <w:rsid w:val="002A2AD8"/>
    <w:rPr>
      <w:sz w:val="22"/>
      <w:szCs w:val="22"/>
      <w:lang w:val="en-GB" w:eastAsia="en-US"/>
    </w:rPr>
  </w:style>
  <w:style w:type="paragraph" w:styleId="EndnoteText">
    <w:name w:val="endnote text"/>
    <w:basedOn w:val="Normal"/>
    <w:link w:val="EndnoteTextChar"/>
    <w:uiPriority w:val="99"/>
    <w:semiHidden/>
    <w:unhideWhenUsed/>
    <w:rsid w:val="00D538E9"/>
    <w:rPr>
      <w:sz w:val="20"/>
      <w:szCs w:val="20"/>
      <w:lang w:val="x-none"/>
    </w:rPr>
  </w:style>
  <w:style w:type="character" w:customStyle="1" w:styleId="EndnoteTextChar">
    <w:name w:val="Endnote Text Char"/>
    <w:link w:val="EndnoteText"/>
    <w:uiPriority w:val="99"/>
    <w:semiHidden/>
    <w:rsid w:val="00D538E9"/>
    <w:rPr>
      <w:lang w:eastAsia="en-US"/>
    </w:rPr>
  </w:style>
  <w:style w:type="character" w:styleId="EndnoteReference">
    <w:name w:val="endnote reference"/>
    <w:uiPriority w:val="99"/>
    <w:semiHidden/>
    <w:unhideWhenUsed/>
    <w:rsid w:val="00D538E9"/>
    <w:rPr>
      <w:vertAlign w:val="superscript"/>
    </w:rPr>
  </w:style>
  <w:style w:type="character" w:customStyle="1" w:styleId="Heading1Char">
    <w:name w:val="Heading 1 Char"/>
    <w:link w:val="Heading1"/>
    <w:uiPriority w:val="9"/>
    <w:rsid w:val="005C70BD"/>
    <w:rPr>
      <w:rFonts w:ascii="Times New Roman" w:eastAsia="Times New Roman" w:hAnsi="Times New Roman"/>
      <w:b/>
      <w:bCs/>
      <w:kern w:val="36"/>
      <w:sz w:val="48"/>
      <w:szCs w:val="48"/>
    </w:rPr>
  </w:style>
  <w:style w:type="character" w:customStyle="1" w:styleId="Heading2Char">
    <w:name w:val="Heading 2 Char"/>
    <w:link w:val="Heading2"/>
    <w:uiPriority w:val="9"/>
    <w:rsid w:val="005C70BD"/>
    <w:rPr>
      <w:rFonts w:ascii="Times New Roman" w:eastAsia="Times New Roman" w:hAnsi="Times New Roman"/>
      <w:b/>
      <w:bCs/>
      <w:sz w:val="36"/>
      <w:szCs w:val="36"/>
    </w:rPr>
  </w:style>
  <w:style w:type="paragraph" w:customStyle="1" w:styleId="byline">
    <w:name w:val="byline"/>
    <w:basedOn w:val="Normal"/>
    <w:rsid w:val="005C70BD"/>
    <w:pPr>
      <w:spacing w:before="100" w:beforeAutospacing="1" w:after="100" w:afterAutospacing="1"/>
    </w:pPr>
    <w:rPr>
      <w:rFonts w:ascii="Times New Roman" w:eastAsia="Times New Roman" w:hAnsi="Times New Roman"/>
      <w:sz w:val="24"/>
      <w:szCs w:val="24"/>
      <w:lang w:eastAsia="en-GB"/>
    </w:rPr>
  </w:style>
  <w:style w:type="character" w:customStyle="1" w:styleId="commentlink">
    <w:name w:val="comment_link"/>
    <w:rsid w:val="005C70BD"/>
  </w:style>
  <w:style w:type="character" w:customStyle="1" w:styleId="Mention1">
    <w:name w:val="Mention1"/>
    <w:uiPriority w:val="99"/>
    <w:semiHidden/>
    <w:unhideWhenUsed/>
    <w:rsid w:val="00BB067B"/>
    <w:rPr>
      <w:color w:val="2B579A"/>
      <w:shd w:val="clear" w:color="auto" w:fill="E6E6E6"/>
    </w:rPr>
  </w:style>
  <w:style w:type="paragraph" w:customStyle="1" w:styleId="BodyA">
    <w:name w:val="Body A"/>
    <w:rsid w:val="000937FC"/>
    <w:pPr>
      <w:pBdr>
        <w:top w:val="nil"/>
        <w:left w:val="nil"/>
        <w:bottom w:val="nil"/>
        <w:right w:val="nil"/>
        <w:between w:val="nil"/>
        <w:bar w:val="nil"/>
      </w:pBdr>
      <w:spacing w:after="200" w:line="276" w:lineRule="auto"/>
    </w:pPr>
    <w:rPr>
      <w:rFonts w:cs="Calibri"/>
      <w:color w:val="000000"/>
      <w:sz w:val="22"/>
      <w:szCs w:val="22"/>
      <w:u w:color="000000"/>
      <w:bdr w:val="nil"/>
      <w:lang w:eastAsia="en-GB"/>
    </w:rPr>
  </w:style>
  <w:style w:type="character" w:customStyle="1" w:styleId="watch-title">
    <w:name w:val="watch-title"/>
    <w:rsid w:val="00FB4018"/>
  </w:style>
  <w:style w:type="character" w:styleId="Mention">
    <w:name w:val="Mention"/>
    <w:basedOn w:val="DefaultParagraphFont"/>
    <w:uiPriority w:val="99"/>
    <w:semiHidden/>
    <w:unhideWhenUsed/>
    <w:rsid w:val="00E851A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9674">
      <w:bodyDiv w:val="1"/>
      <w:marLeft w:val="0"/>
      <w:marRight w:val="0"/>
      <w:marTop w:val="0"/>
      <w:marBottom w:val="0"/>
      <w:divBdr>
        <w:top w:val="none" w:sz="0" w:space="0" w:color="auto"/>
        <w:left w:val="none" w:sz="0" w:space="0" w:color="auto"/>
        <w:bottom w:val="none" w:sz="0" w:space="0" w:color="auto"/>
        <w:right w:val="none" w:sz="0" w:space="0" w:color="auto"/>
      </w:divBdr>
    </w:div>
    <w:div w:id="33699971">
      <w:bodyDiv w:val="1"/>
      <w:marLeft w:val="0"/>
      <w:marRight w:val="0"/>
      <w:marTop w:val="0"/>
      <w:marBottom w:val="0"/>
      <w:divBdr>
        <w:top w:val="none" w:sz="0" w:space="0" w:color="auto"/>
        <w:left w:val="none" w:sz="0" w:space="0" w:color="auto"/>
        <w:bottom w:val="none" w:sz="0" w:space="0" w:color="auto"/>
        <w:right w:val="none" w:sz="0" w:space="0" w:color="auto"/>
      </w:divBdr>
    </w:div>
    <w:div w:id="53821249">
      <w:bodyDiv w:val="1"/>
      <w:marLeft w:val="0"/>
      <w:marRight w:val="0"/>
      <w:marTop w:val="0"/>
      <w:marBottom w:val="0"/>
      <w:divBdr>
        <w:top w:val="none" w:sz="0" w:space="0" w:color="auto"/>
        <w:left w:val="none" w:sz="0" w:space="0" w:color="auto"/>
        <w:bottom w:val="none" w:sz="0" w:space="0" w:color="auto"/>
        <w:right w:val="none" w:sz="0" w:space="0" w:color="auto"/>
      </w:divBdr>
    </w:div>
    <w:div w:id="88698807">
      <w:bodyDiv w:val="1"/>
      <w:marLeft w:val="0"/>
      <w:marRight w:val="0"/>
      <w:marTop w:val="0"/>
      <w:marBottom w:val="0"/>
      <w:divBdr>
        <w:top w:val="none" w:sz="0" w:space="0" w:color="auto"/>
        <w:left w:val="none" w:sz="0" w:space="0" w:color="auto"/>
        <w:bottom w:val="none" w:sz="0" w:space="0" w:color="auto"/>
        <w:right w:val="none" w:sz="0" w:space="0" w:color="auto"/>
      </w:divBdr>
    </w:div>
    <w:div w:id="102386442">
      <w:bodyDiv w:val="1"/>
      <w:marLeft w:val="0"/>
      <w:marRight w:val="0"/>
      <w:marTop w:val="0"/>
      <w:marBottom w:val="0"/>
      <w:divBdr>
        <w:top w:val="none" w:sz="0" w:space="0" w:color="auto"/>
        <w:left w:val="none" w:sz="0" w:space="0" w:color="auto"/>
        <w:bottom w:val="none" w:sz="0" w:space="0" w:color="auto"/>
        <w:right w:val="none" w:sz="0" w:space="0" w:color="auto"/>
      </w:divBdr>
    </w:div>
    <w:div w:id="170534217">
      <w:bodyDiv w:val="1"/>
      <w:marLeft w:val="0"/>
      <w:marRight w:val="0"/>
      <w:marTop w:val="0"/>
      <w:marBottom w:val="0"/>
      <w:divBdr>
        <w:top w:val="none" w:sz="0" w:space="0" w:color="auto"/>
        <w:left w:val="none" w:sz="0" w:space="0" w:color="auto"/>
        <w:bottom w:val="none" w:sz="0" w:space="0" w:color="auto"/>
        <w:right w:val="none" w:sz="0" w:space="0" w:color="auto"/>
      </w:divBdr>
    </w:div>
    <w:div w:id="188960055">
      <w:bodyDiv w:val="1"/>
      <w:marLeft w:val="0"/>
      <w:marRight w:val="0"/>
      <w:marTop w:val="0"/>
      <w:marBottom w:val="0"/>
      <w:divBdr>
        <w:top w:val="none" w:sz="0" w:space="0" w:color="auto"/>
        <w:left w:val="none" w:sz="0" w:space="0" w:color="auto"/>
        <w:bottom w:val="none" w:sz="0" w:space="0" w:color="auto"/>
        <w:right w:val="none" w:sz="0" w:space="0" w:color="auto"/>
      </w:divBdr>
    </w:div>
    <w:div w:id="195626632">
      <w:bodyDiv w:val="1"/>
      <w:marLeft w:val="0"/>
      <w:marRight w:val="0"/>
      <w:marTop w:val="0"/>
      <w:marBottom w:val="0"/>
      <w:divBdr>
        <w:top w:val="none" w:sz="0" w:space="0" w:color="auto"/>
        <w:left w:val="none" w:sz="0" w:space="0" w:color="auto"/>
        <w:bottom w:val="none" w:sz="0" w:space="0" w:color="auto"/>
        <w:right w:val="none" w:sz="0" w:space="0" w:color="auto"/>
      </w:divBdr>
    </w:div>
    <w:div w:id="218519835">
      <w:bodyDiv w:val="1"/>
      <w:marLeft w:val="0"/>
      <w:marRight w:val="0"/>
      <w:marTop w:val="0"/>
      <w:marBottom w:val="0"/>
      <w:divBdr>
        <w:top w:val="none" w:sz="0" w:space="0" w:color="auto"/>
        <w:left w:val="none" w:sz="0" w:space="0" w:color="auto"/>
        <w:bottom w:val="none" w:sz="0" w:space="0" w:color="auto"/>
        <w:right w:val="none" w:sz="0" w:space="0" w:color="auto"/>
      </w:divBdr>
    </w:div>
    <w:div w:id="251815929">
      <w:bodyDiv w:val="1"/>
      <w:marLeft w:val="0"/>
      <w:marRight w:val="0"/>
      <w:marTop w:val="0"/>
      <w:marBottom w:val="0"/>
      <w:divBdr>
        <w:top w:val="none" w:sz="0" w:space="0" w:color="auto"/>
        <w:left w:val="none" w:sz="0" w:space="0" w:color="auto"/>
        <w:bottom w:val="none" w:sz="0" w:space="0" w:color="auto"/>
        <w:right w:val="none" w:sz="0" w:space="0" w:color="auto"/>
      </w:divBdr>
    </w:div>
    <w:div w:id="276327620">
      <w:bodyDiv w:val="1"/>
      <w:marLeft w:val="0"/>
      <w:marRight w:val="0"/>
      <w:marTop w:val="0"/>
      <w:marBottom w:val="0"/>
      <w:divBdr>
        <w:top w:val="none" w:sz="0" w:space="0" w:color="auto"/>
        <w:left w:val="none" w:sz="0" w:space="0" w:color="auto"/>
        <w:bottom w:val="none" w:sz="0" w:space="0" w:color="auto"/>
        <w:right w:val="none" w:sz="0" w:space="0" w:color="auto"/>
      </w:divBdr>
    </w:div>
    <w:div w:id="319121540">
      <w:bodyDiv w:val="1"/>
      <w:marLeft w:val="0"/>
      <w:marRight w:val="0"/>
      <w:marTop w:val="0"/>
      <w:marBottom w:val="0"/>
      <w:divBdr>
        <w:top w:val="none" w:sz="0" w:space="0" w:color="auto"/>
        <w:left w:val="none" w:sz="0" w:space="0" w:color="auto"/>
        <w:bottom w:val="none" w:sz="0" w:space="0" w:color="auto"/>
        <w:right w:val="none" w:sz="0" w:space="0" w:color="auto"/>
      </w:divBdr>
    </w:div>
    <w:div w:id="431783109">
      <w:bodyDiv w:val="1"/>
      <w:marLeft w:val="0"/>
      <w:marRight w:val="0"/>
      <w:marTop w:val="0"/>
      <w:marBottom w:val="0"/>
      <w:divBdr>
        <w:top w:val="none" w:sz="0" w:space="0" w:color="auto"/>
        <w:left w:val="none" w:sz="0" w:space="0" w:color="auto"/>
        <w:bottom w:val="none" w:sz="0" w:space="0" w:color="auto"/>
        <w:right w:val="none" w:sz="0" w:space="0" w:color="auto"/>
      </w:divBdr>
    </w:div>
    <w:div w:id="460078954">
      <w:bodyDiv w:val="1"/>
      <w:marLeft w:val="0"/>
      <w:marRight w:val="0"/>
      <w:marTop w:val="0"/>
      <w:marBottom w:val="0"/>
      <w:divBdr>
        <w:top w:val="none" w:sz="0" w:space="0" w:color="auto"/>
        <w:left w:val="none" w:sz="0" w:space="0" w:color="auto"/>
        <w:bottom w:val="none" w:sz="0" w:space="0" w:color="auto"/>
        <w:right w:val="none" w:sz="0" w:space="0" w:color="auto"/>
      </w:divBdr>
    </w:div>
    <w:div w:id="567956643">
      <w:bodyDiv w:val="1"/>
      <w:marLeft w:val="0"/>
      <w:marRight w:val="0"/>
      <w:marTop w:val="0"/>
      <w:marBottom w:val="0"/>
      <w:divBdr>
        <w:top w:val="none" w:sz="0" w:space="0" w:color="auto"/>
        <w:left w:val="none" w:sz="0" w:space="0" w:color="auto"/>
        <w:bottom w:val="none" w:sz="0" w:space="0" w:color="auto"/>
        <w:right w:val="none" w:sz="0" w:space="0" w:color="auto"/>
      </w:divBdr>
    </w:div>
    <w:div w:id="596670533">
      <w:bodyDiv w:val="1"/>
      <w:marLeft w:val="0"/>
      <w:marRight w:val="0"/>
      <w:marTop w:val="0"/>
      <w:marBottom w:val="0"/>
      <w:divBdr>
        <w:top w:val="none" w:sz="0" w:space="0" w:color="auto"/>
        <w:left w:val="none" w:sz="0" w:space="0" w:color="auto"/>
        <w:bottom w:val="none" w:sz="0" w:space="0" w:color="auto"/>
        <w:right w:val="none" w:sz="0" w:space="0" w:color="auto"/>
      </w:divBdr>
    </w:div>
    <w:div w:id="650139846">
      <w:bodyDiv w:val="1"/>
      <w:marLeft w:val="0"/>
      <w:marRight w:val="0"/>
      <w:marTop w:val="0"/>
      <w:marBottom w:val="0"/>
      <w:divBdr>
        <w:top w:val="none" w:sz="0" w:space="0" w:color="auto"/>
        <w:left w:val="none" w:sz="0" w:space="0" w:color="auto"/>
        <w:bottom w:val="none" w:sz="0" w:space="0" w:color="auto"/>
        <w:right w:val="none" w:sz="0" w:space="0" w:color="auto"/>
      </w:divBdr>
    </w:div>
    <w:div w:id="675613129">
      <w:bodyDiv w:val="1"/>
      <w:marLeft w:val="0"/>
      <w:marRight w:val="0"/>
      <w:marTop w:val="0"/>
      <w:marBottom w:val="0"/>
      <w:divBdr>
        <w:top w:val="none" w:sz="0" w:space="0" w:color="auto"/>
        <w:left w:val="none" w:sz="0" w:space="0" w:color="auto"/>
        <w:bottom w:val="none" w:sz="0" w:space="0" w:color="auto"/>
        <w:right w:val="none" w:sz="0" w:space="0" w:color="auto"/>
      </w:divBdr>
    </w:div>
    <w:div w:id="717362716">
      <w:bodyDiv w:val="1"/>
      <w:marLeft w:val="0"/>
      <w:marRight w:val="0"/>
      <w:marTop w:val="0"/>
      <w:marBottom w:val="0"/>
      <w:divBdr>
        <w:top w:val="none" w:sz="0" w:space="0" w:color="auto"/>
        <w:left w:val="none" w:sz="0" w:space="0" w:color="auto"/>
        <w:bottom w:val="none" w:sz="0" w:space="0" w:color="auto"/>
        <w:right w:val="none" w:sz="0" w:space="0" w:color="auto"/>
      </w:divBdr>
    </w:div>
    <w:div w:id="739253473">
      <w:bodyDiv w:val="1"/>
      <w:marLeft w:val="0"/>
      <w:marRight w:val="0"/>
      <w:marTop w:val="0"/>
      <w:marBottom w:val="0"/>
      <w:divBdr>
        <w:top w:val="none" w:sz="0" w:space="0" w:color="auto"/>
        <w:left w:val="none" w:sz="0" w:space="0" w:color="auto"/>
        <w:bottom w:val="none" w:sz="0" w:space="0" w:color="auto"/>
        <w:right w:val="none" w:sz="0" w:space="0" w:color="auto"/>
      </w:divBdr>
    </w:div>
    <w:div w:id="790906241">
      <w:bodyDiv w:val="1"/>
      <w:marLeft w:val="0"/>
      <w:marRight w:val="0"/>
      <w:marTop w:val="0"/>
      <w:marBottom w:val="0"/>
      <w:divBdr>
        <w:top w:val="none" w:sz="0" w:space="0" w:color="auto"/>
        <w:left w:val="none" w:sz="0" w:space="0" w:color="auto"/>
        <w:bottom w:val="none" w:sz="0" w:space="0" w:color="auto"/>
        <w:right w:val="none" w:sz="0" w:space="0" w:color="auto"/>
      </w:divBdr>
    </w:div>
    <w:div w:id="798884215">
      <w:bodyDiv w:val="1"/>
      <w:marLeft w:val="0"/>
      <w:marRight w:val="0"/>
      <w:marTop w:val="0"/>
      <w:marBottom w:val="0"/>
      <w:divBdr>
        <w:top w:val="none" w:sz="0" w:space="0" w:color="auto"/>
        <w:left w:val="none" w:sz="0" w:space="0" w:color="auto"/>
        <w:bottom w:val="none" w:sz="0" w:space="0" w:color="auto"/>
        <w:right w:val="none" w:sz="0" w:space="0" w:color="auto"/>
      </w:divBdr>
    </w:div>
    <w:div w:id="817843680">
      <w:bodyDiv w:val="1"/>
      <w:marLeft w:val="0"/>
      <w:marRight w:val="0"/>
      <w:marTop w:val="0"/>
      <w:marBottom w:val="0"/>
      <w:divBdr>
        <w:top w:val="none" w:sz="0" w:space="0" w:color="auto"/>
        <w:left w:val="none" w:sz="0" w:space="0" w:color="auto"/>
        <w:bottom w:val="none" w:sz="0" w:space="0" w:color="auto"/>
        <w:right w:val="none" w:sz="0" w:space="0" w:color="auto"/>
      </w:divBdr>
    </w:div>
    <w:div w:id="880821912">
      <w:bodyDiv w:val="1"/>
      <w:marLeft w:val="0"/>
      <w:marRight w:val="0"/>
      <w:marTop w:val="0"/>
      <w:marBottom w:val="0"/>
      <w:divBdr>
        <w:top w:val="none" w:sz="0" w:space="0" w:color="auto"/>
        <w:left w:val="none" w:sz="0" w:space="0" w:color="auto"/>
        <w:bottom w:val="none" w:sz="0" w:space="0" w:color="auto"/>
        <w:right w:val="none" w:sz="0" w:space="0" w:color="auto"/>
      </w:divBdr>
    </w:div>
    <w:div w:id="885676891">
      <w:bodyDiv w:val="1"/>
      <w:marLeft w:val="0"/>
      <w:marRight w:val="0"/>
      <w:marTop w:val="0"/>
      <w:marBottom w:val="0"/>
      <w:divBdr>
        <w:top w:val="none" w:sz="0" w:space="0" w:color="auto"/>
        <w:left w:val="none" w:sz="0" w:space="0" w:color="auto"/>
        <w:bottom w:val="none" w:sz="0" w:space="0" w:color="auto"/>
        <w:right w:val="none" w:sz="0" w:space="0" w:color="auto"/>
      </w:divBdr>
    </w:div>
    <w:div w:id="957876461">
      <w:bodyDiv w:val="1"/>
      <w:marLeft w:val="0"/>
      <w:marRight w:val="0"/>
      <w:marTop w:val="0"/>
      <w:marBottom w:val="0"/>
      <w:divBdr>
        <w:top w:val="none" w:sz="0" w:space="0" w:color="auto"/>
        <w:left w:val="none" w:sz="0" w:space="0" w:color="auto"/>
        <w:bottom w:val="none" w:sz="0" w:space="0" w:color="auto"/>
        <w:right w:val="none" w:sz="0" w:space="0" w:color="auto"/>
      </w:divBdr>
    </w:div>
    <w:div w:id="1030103695">
      <w:bodyDiv w:val="1"/>
      <w:marLeft w:val="0"/>
      <w:marRight w:val="0"/>
      <w:marTop w:val="0"/>
      <w:marBottom w:val="0"/>
      <w:divBdr>
        <w:top w:val="none" w:sz="0" w:space="0" w:color="auto"/>
        <w:left w:val="none" w:sz="0" w:space="0" w:color="auto"/>
        <w:bottom w:val="none" w:sz="0" w:space="0" w:color="auto"/>
        <w:right w:val="none" w:sz="0" w:space="0" w:color="auto"/>
      </w:divBdr>
    </w:div>
    <w:div w:id="1051536820">
      <w:bodyDiv w:val="1"/>
      <w:marLeft w:val="0"/>
      <w:marRight w:val="0"/>
      <w:marTop w:val="0"/>
      <w:marBottom w:val="0"/>
      <w:divBdr>
        <w:top w:val="none" w:sz="0" w:space="0" w:color="auto"/>
        <w:left w:val="none" w:sz="0" w:space="0" w:color="auto"/>
        <w:bottom w:val="none" w:sz="0" w:space="0" w:color="auto"/>
        <w:right w:val="none" w:sz="0" w:space="0" w:color="auto"/>
      </w:divBdr>
    </w:div>
    <w:div w:id="1094206400">
      <w:bodyDiv w:val="1"/>
      <w:marLeft w:val="0"/>
      <w:marRight w:val="0"/>
      <w:marTop w:val="0"/>
      <w:marBottom w:val="0"/>
      <w:divBdr>
        <w:top w:val="none" w:sz="0" w:space="0" w:color="auto"/>
        <w:left w:val="none" w:sz="0" w:space="0" w:color="auto"/>
        <w:bottom w:val="none" w:sz="0" w:space="0" w:color="auto"/>
        <w:right w:val="none" w:sz="0" w:space="0" w:color="auto"/>
      </w:divBdr>
    </w:div>
    <w:div w:id="1101755611">
      <w:bodyDiv w:val="1"/>
      <w:marLeft w:val="0"/>
      <w:marRight w:val="0"/>
      <w:marTop w:val="0"/>
      <w:marBottom w:val="0"/>
      <w:divBdr>
        <w:top w:val="none" w:sz="0" w:space="0" w:color="auto"/>
        <w:left w:val="none" w:sz="0" w:space="0" w:color="auto"/>
        <w:bottom w:val="none" w:sz="0" w:space="0" w:color="auto"/>
        <w:right w:val="none" w:sz="0" w:space="0" w:color="auto"/>
      </w:divBdr>
    </w:div>
    <w:div w:id="1108622915">
      <w:bodyDiv w:val="1"/>
      <w:marLeft w:val="0"/>
      <w:marRight w:val="0"/>
      <w:marTop w:val="0"/>
      <w:marBottom w:val="0"/>
      <w:divBdr>
        <w:top w:val="none" w:sz="0" w:space="0" w:color="auto"/>
        <w:left w:val="none" w:sz="0" w:space="0" w:color="auto"/>
        <w:bottom w:val="none" w:sz="0" w:space="0" w:color="auto"/>
        <w:right w:val="none" w:sz="0" w:space="0" w:color="auto"/>
      </w:divBdr>
    </w:div>
    <w:div w:id="1257321501">
      <w:bodyDiv w:val="1"/>
      <w:marLeft w:val="0"/>
      <w:marRight w:val="0"/>
      <w:marTop w:val="0"/>
      <w:marBottom w:val="0"/>
      <w:divBdr>
        <w:top w:val="none" w:sz="0" w:space="0" w:color="auto"/>
        <w:left w:val="none" w:sz="0" w:space="0" w:color="auto"/>
        <w:bottom w:val="none" w:sz="0" w:space="0" w:color="auto"/>
        <w:right w:val="none" w:sz="0" w:space="0" w:color="auto"/>
      </w:divBdr>
    </w:div>
    <w:div w:id="1313559881">
      <w:bodyDiv w:val="1"/>
      <w:marLeft w:val="0"/>
      <w:marRight w:val="0"/>
      <w:marTop w:val="0"/>
      <w:marBottom w:val="0"/>
      <w:divBdr>
        <w:top w:val="none" w:sz="0" w:space="0" w:color="auto"/>
        <w:left w:val="none" w:sz="0" w:space="0" w:color="auto"/>
        <w:bottom w:val="none" w:sz="0" w:space="0" w:color="auto"/>
        <w:right w:val="none" w:sz="0" w:space="0" w:color="auto"/>
      </w:divBdr>
      <w:divsChild>
        <w:div w:id="1434323330">
          <w:marLeft w:val="0"/>
          <w:marRight w:val="0"/>
          <w:marTop w:val="0"/>
          <w:marBottom w:val="0"/>
          <w:divBdr>
            <w:top w:val="none" w:sz="0" w:space="0" w:color="auto"/>
            <w:left w:val="none" w:sz="0" w:space="0" w:color="auto"/>
            <w:bottom w:val="none" w:sz="0" w:space="0" w:color="auto"/>
            <w:right w:val="none" w:sz="0" w:space="0" w:color="auto"/>
          </w:divBdr>
          <w:divsChild>
            <w:div w:id="2112314203">
              <w:marLeft w:val="0"/>
              <w:marRight w:val="0"/>
              <w:marTop w:val="0"/>
              <w:marBottom w:val="0"/>
              <w:divBdr>
                <w:top w:val="none" w:sz="0" w:space="0" w:color="auto"/>
                <w:left w:val="none" w:sz="0" w:space="0" w:color="auto"/>
                <w:bottom w:val="none" w:sz="0" w:space="0" w:color="auto"/>
                <w:right w:val="none" w:sz="0" w:space="0" w:color="auto"/>
              </w:divBdr>
              <w:divsChild>
                <w:div w:id="1103721593">
                  <w:marLeft w:val="0"/>
                  <w:marRight w:val="0"/>
                  <w:marTop w:val="0"/>
                  <w:marBottom w:val="0"/>
                  <w:divBdr>
                    <w:top w:val="none" w:sz="0" w:space="0" w:color="auto"/>
                    <w:left w:val="none" w:sz="0" w:space="0" w:color="auto"/>
                    <w:bottom w:val="none" w:sz="0" w:space="0" w:color="auto"/>
                    <w:right w:val="none" w:sz="0" w:space="0" w:color="auto"/>
                  </w:divBdr>
                  <w:divsChild>
                    <w:div w:id="17692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7331">
      <w:bodyDiv w:val="1"/>
      <w:marLeft w:val="0"/>
      <w:marRight w:val="0"/>
      <w:marTop w:val="0"/>
      <w:marBottom w:val="0"/>
      <w:divBdr>
        <w:top w:val="none" w:sz="0" w:space="0" w:color="auto"/>
        <w:left w:val="none" w:sz="0" w:space="0" w:color="auto"/>
        <w:bottom w:val="none" w:sz="0" w:space="0" w:color="auto"/>
        <w:right w:val="none" w:sz="0" w:space="0" w:color="auto"/>
      </w:divBdr>
    </w:div>
    <w:div w:id="1381050560">
      <w:bodyDiv w:val="1"/>
      <w:marLeft w:val="0"/>
      <w:marRight w:val="0"/>
      <w:marTop w:val="0"/>
      <w:marBottom w:val="0"/>
      <w:divBdr>
        <w:top w:val="none" w:sz="0" w:space="0" w:color="auto"/>
        <w:left w:val="none" w:sz="0" w:space="0" w:color="auto"/>
        <w:bottom w:val="none" w:sz="0" w:space="0" w:color="auto"/>
        <w:right w:val="none" w:sz="0" w:space="0" w:color="auto"/>
      </w:divBdr>
    </w:div>
    <w:div w:id="1400010342">
      <w:bodyDiv w:val="1"/>
      <w:marLeft w:val="0"/>
      <w:marRight w:val="0"/>
      <w:marTop w:val="0"/>
      <w:marBottom w:val="0"/>
      <w:divBdr>
        <w:top w:val="none" w:sz="0" w:space="0" w:color="auto"/>
        <w:left w:val="none" w:sz="0" w:space="0" w:color="auto"/>
        <w:bottom w:val="none" w:sz="0" w:space="0" w:color="auto"/>
        <w:right w:val="none" w:sz="0" w:space="0" w:color="auto"/>
      </w:divBdr>
    </w:div>
    <w:div w:id="1458723769">
      <w:bodyDiv w:val="1"/>
      <w:marLeft w:val="0"/>
      <w:marRight w:val="0"/>
      <w:marTop w:val="0"/>
      <w:marBottom w:val="0"/>
      <w:divBdr>
        <w:top w:val="none" w:sz="0" w:space="0" w:color="auto"/>
        <w:left w:val="none" w:sz="0" w:space="0" w:color="auto"/>
        <w:bottom w:val="none" w:sz="0" w:space="0" w:color="auto"/>
        <w:right w:val="none" w:sz="0" w:space="0" w:color="auto"/>
      </w:divBdr>
    </w:div>
    <w:div w:id="1460762165">
      <w:bodyDiv w:val="1"/>
      <w:marLeft w:val="0"/>
      <w:marRight w:val="0"/>
      <w:marTop w:val="0"/>
      <w:marBottom w:val="0"/>
      <w:divBdr>
        <w:top w:val="none" w:sz="0" w:space="0" w:color="auto"/>
        <w:left w:val="none" w:sz="0" w:space="0" w:color="auto"/>
        <w:bottom w:val="none" w:sz="0" w:space="0" w:color="auto"/>
        <w:right w:val="none" w:sz="0" w:space="0" w:color="auto"/>
      </w:divBdr>
    </w:div>
    <w:div w:id="1513104720">
      <w:bodyDiv w:val="1"/>
      <w:marLeft w:val="0"/>
      <w:marRight w:val="0"/>
      <w:marTop w:val="0"/>
      <w:marBottom w:val="0"/>
      <w:divBdr>
        <w:top w:val="none" w:sz="0" w:space="0" w:color="auto"/>
        <w:left w:val="none" w:sz="0" w:space="0" w:color="auto"/>
        <w:bottom w:val="none" w:sz="0" w:space="0" w:color="auto"/>
        <w:right w:val="none" w:sz="0" w:space="0" w:color="auto"/>
      </w:divBdr>
    </w:div>
    <w:div w:id="1544900118">
      <w:bodyDiv w:val="1"/>
      <w:marLeft w:val="0"/>
      <w:marRight w:val="0"/>
      <w:marTop w:val="0"/>
      <w:marBottom w:val="0"/>
      <w:divBdr>
        <w:top w:val="none" w:sz="0" w:space="0" w:color="auto"/>
        <w:left w:val="none" w:sz="0" w:space="0" w:color="auto"/>
        <w:bottom w:val="none" w:sz="0" w:space="0" w:color="auto"/>
        <w:right w:val="none" w:sz="0" w:space="0" w:color="auto"/>
      </w:divBdr>
    </w:div>
    <w:div w:id="1555894525">
      <w:bodyDiv w:val="1"/>
      <w:marLeft w:val="0"/>
      <w:marRight w:val="0"/>
      <w:marTop w:val="0"/>
      <w:marBottom w:val="0"/>
      <w:divBdr>
        <w:top w:val="none" w:sz="0" w:space="0" w:color="auto"/>
        <w:left w:val="none" w:sz="0" w:space="0" w:color="auto"/>
        <w:bottom w:val="none" w:sz="0" w:space="0" w:color="auto"/>
        <w:right w:val="none" w:sz="0" w:space="0" w:color="auto"/>
      </w:divBdr>
    </w:div>
    <w:div w:id="1565991742">
      <w:bodyDiv w:val="1"/>
      <w:marLeft w:val="0"/>
      <w:marRight w:val="0"/>
      <w:marTop w:val="0"/>
      <w:marBottom w:val="0"/>
      <w:divBdr>
        <w:top w:val="none" w:sz="0" w:space="0" w:color="auto"/>
        <w:left w:val="none" w:sz="0" w:space="0" w:color="auto"/>
        <w:bottom w:val="none" w:sz="0" w:space="0" w:color="auto"/>
        <w:right w:val="none" w:sz="0" w:space="0" w:color="auto"/>
      </w:divBdr>
    </w:div>
    <w:div w:id="1588805353">
      <w:bodyDiv w:val="1"/>
      <w:marLeft w:val="0"/>
      <w:marRight w:val="0"/>
      <w:marTop w:val="0"/>
      <w:marBottom w:val="0"/>
      <w:divBdr>
        <w:top w:val="none" w:sz="0" w:space="0" w:color="auto"/>
        <w:left w:val="none" w:sz="0" w:space="0" w:color="auto"/>
        <w:bottom w:val="none" w:sz="0" w:space="0" w:color="auto"/>
        <w:right w:val="none" w:sz="0" w:space="0" w:color="auto"/>
      </w:divBdr>
    </w:div>
    <w:div w:id="1589852269">
      <w:bodyDiv w:val="1"/>
      <w:marLeft w:val="0"/>
      <w:marRight w:val="0"/>
      <w:marTop w:val="0"/>
      <w:marBottom w:val="0"/>
      <w:divBdr>
        <w:top w:val="none" w:sz="0" w:space="0" w:color="auto"/>
        <w:left w:val="none" w:sz="0" w:space="0" w:color="auto"/>
        <w:bottom w:val="none" w:sz="0" w:space="0" w:color="auto"/>
        <w:right w:val="none" w:sz="0" w:space="0" w:color="auto"/>
      </w:divBdr>
    </w:div>
    <w:div w:id="1611933126">
      <w:bodyDiv w:val="1"/>
      <w:marLeft w:val="0"/>
      <w:marRight w:val="0"/>
      <w:marTop w:val="0"/>
      <w:marBottom w:val="0"/>
      <w:divBdr>
        <w:top w:val="none" w:sz="0" w:space="0" w:color="auto"/>
        <w:left w:val="none" w:sz="0" w:space="0" w:color="auto"/>
        <w:bottom w:val="none" w:sz="0" w:space="0" w:color="auto"/>
        <w:right w:val="none" w:sz="0" w:space="0" w:color="auto"/>
      </w:divBdr>
    </w:div>
    <w:div w:id="1649045320">
      <w:bodyDiv w:val="1"/>
      <w:marLeft w:val="0"/>
      <w:marRight w:val="0"/>
      <w:marTop w:val="0"/>
      <w:marBottom w:val="0"/>
      <w:divBdr>
        <w:top w:val="none" w:sz="0" w:space="0" w:color="auto"/>
        <w:left w:val="none" w:sz="0" w:space="0" w:color="auto"/>
        <w:bottom w:val="none" w:sz="0" w:space="0" w:color="auto"/>
        <w:right w:val="none" w:sz="0" w:space="0" w:color="auto"/>
      </w:divBdr>
    </w:div>
    <w:div w:id="1659728177">
      <w:bodyDiv w:val="1"/>
      <w:marLeft w:val="0"/>
      <w:marRight w:val="0"/>
      <w:marTop w:val="0"/>
      <w:marBottom w:val="0"/>
      <w:divBdr>
        <w:top w:val="none" w:sz="0" w:space="0" w:color="auto"/>
        <w:left w:val="none" w:sz="0" w:space="0" w:color="auto"/>
        <w:bottom w:val="none" w:sz="0" w:space="0" w:color="auto"/>
        <w:right w:val="none" w:sz="0" w:space="0" w:color="auto"/>
      </w:divBdr>
    </w:div>
    <w:div w:id="1676764201">
      <w:bodyDiv w:val="1"/>
      <w:marLeft w:val="0"/>
      <w:marRight w:val="0"/>
      <w:marTop w:val="0"/>
      <w:marBottom w:val="0"/>
      <w:divBdr>
        <w:top w:val="none" w:sz="0" w:space="0" w:color="auto"/>
        <w:left w:val="none" w:sz="0" w:space="0" w:color="auto"/>
        <w:bottom w:val="none" w:sz="0" w:space="0" w:color="auto"/>
        <w:right w:val="none" w:sz="0" w:space="0" w:color="auto"/>
      </w:divBdr>
    </w:div>
    <w:div w:id="1700935793">
      <w:bodyDiv w:val="1"/>
      <w:marLeft w:val="0"/>
      <w:marRight w:val="0"/>
      <w:marTop w:val="0"/>
      <w:marBottom w:val="0"/>
      <w:divBdr>
        <w:top w:val="none" w:sz="0" w:space="0" w:color="auto"/>
        <w:left w:val="none" w:sz="0" w:space="0" w:color="auto"/>
        <w:bottom w:val="none" w:sz="0" w:space="0" w:color="auto"/>
        <w:right w:val="none" w:sz="0" w:space="0" w:color="auto"/>
      </w:divBdr>
    </w:div>
    <w:div w:id="1736656603">
      <w:bodyDiv w:val="1"/>
      <w:marLeft w:val="0"/>
      <w:marRight w:val="0"/>
      <w:marTop w:val="0"/>
      <w:marBottom w:val="0"/>
      <w:divBdr>
        <w:top w:val="none" w:sz="0" w:space="0" w:color="auto"/>
        <w:left w:val="none" w:sz="0" w:space="0" w:color="auto"/>
        <w:bottom w:val="none" w:sz="0" w:space="0" w:color="auto"/>
        <w:right w:val="none" w:sz="0" w:space="0" w:color="auto"/>
      </w:divBdr>
    </w:div>
    <w:div w:id="1743285471">
      <w:bodyDiv w:val="1"/>
      <w:marLeft w:val="0"/>
      <w:marRight w:val="0"/>
      <w:marTop w:val="0"/>
      <w:marBottom w:val="0"/>
      <w:divBdr>
        <w:top w:val="none" w:sz="0" w:space="0" w:color="auto"/>
        <w:left w:val="none" w:sz="0" w:space="0" w:color="auto"/>
        <w:bottom w:val="none" w:sz="0" w:space="0" w:color="auto"/>
        <w:right w:val="none" w:sz="0" w:space="0" w:color="auto"/>
      </w:divBdr>
    </w:div>
    <w:div w:id="1772357588">
      <w:bodyDiv w:val="1"/>
      <w:marLeft w:val="0"/>
      <w:marRight w:val="0"/>
      <w:marTop w:val="0"/>
      <w:marBottom w:val="0"/>
      <w:divBdr>
        <w:top w:val="none" w:sz="0" w:space="0" w:color="auto"/>
        <w:left w:val="none" w:sz="0" w:space="0" w:color="auto"/>
        <w:bottom w:val="none" w:sz="0" w:space="0" w:color="auto"/>
        <w:right w:val="none" w:sz="0" w:space="0" w:color="auto"/>
      </w:divBdr>
    </w:div>
    <w:div w:id="1784881060">
      <w:bodyDiv w:val="1"/>
      <w:marLeft w:val="0"/>
      <w:marRight w:val="0"/>
      <w:marTop w:val="0"/>
      <w:marBottom w:val="0"/>
      <w:divBdr>
        <w:top w:val="none" w:sz="0" w:space="0" w:color="auto"/>
        <w:left w:val="none" w:sz="0" w:space="0" w:color="auto"/>
        <w:bottom w:val="none" w:sz="0" w:space="0" w:color="auto"/>
        <w:right w:val="none" w:sz="0" w:space="0" w:color="auto"/>
      </w:divBdr>
    </w:div>
    <w:div w:id="1829905421">
      <w:bodyDiv w:val="1"/>
      <w:marLeft w:val="0"/>
      <w:marRight w:val="0"/>
      <w:marTop w:val="0"/>
      <w:marBottom w:val="0"/>
      <w:divBdr>
        <w:top w:val="none" w:sz="0" w:space="0" w:color="auto"/>
        <w:left w:val="none" w:sz="0" w:space="0" w:color="auto"/>
        <w:bottom w:val="none" w:sz="0" w:space="0" w:color="auto"/>
        <w:right w:val="none" w:sz="0" w:space="0" w:color="auto"/>
      </w:divBdr>
    </w:div>
    <w:div w:id="1830973831">
      <w:bodyDiv w:val="1"/>
      <w:marLeft w:val="0"/>
      <w:marRight w:val="0"/>
      <w:marTop w:val="0"/>
      <w:marBottom w:val="0"/>
      <w:divBdr>
        <w:top w:val="none" w:sz="0" w:space="0" w:color="auto"/>
        <w:left w:val="none" w:sz="0" w:space="0" w:color="auto"/>
        <w:bottom w:val="none" w:sz="0" w:space="0" w:color="auto"/>
        <w:right w:val="none" w:sz="0" w:space="0" w:color="auto"/>
      </w:divBdr>
    </w:div>
    <w:div w:id="1836995587">
      <w:bodyDiv w:val="1"/>
      <w:marLeft w:val="0"/>
      <w:marRight w:val="0"/>
      <w:marTop w:val="0"/>
      <w:marBottom w:val="0"/>
      <w:divBdr>
        <w:top w:val="none" w:sz="0" w:space="0" w:color="auto"/>
        <w:left w:val="none" w:sz="0" w:space="0" w:color="auto"/>
        <w:bottom w:val="none" w:sz="0" w:space="0" w:color="auto"/>
        <w:right w:val="none" w:sz="0" w:space="0" w:color="auto"/>
      </w:divBdr>
    </w:div>
    <w:div w:id="1878002834">
      <w:bodyDiv w:val="1"/>
      <w:marLeft w:val="0"/>
      <w:marRight w:val="0"/>
      <w:marTop w:val="0"/>
      <w:marBottom w:val="0"/>
      <w:divBdr>
        <w:top w:val="none" w:sz="0" w:space="0" w:color="auto"/>
        <w:left w:val="none" w:sz="0" w:space="0" w:color="auto"/>
        <w:bottom w:val="none" w:sz="0" w:space="0" w:color="auto"/>
        <w:right w:val="none" w:sz="0" w:space="0" w:color="auto"/>
      </w:divBdr>
    </w:div>
    <w:div w:id="1883008057">
      <w:bodyDiv w:val="1"/>
      <w:marLeft w:val="0"/>
      <w:marRight w:val="0"/>
      <w:marTop w:val="0"/>
      <w:marBottom w:val="0"/>
      <w:divBdr>
        <w:top w:val="none" w:sz="0" w:space="0" w:color="auto"/>
        <w:left w:val="none" w:sz="0" w:space="0" w:color="auto"/>
        <w:bottom w:val="none" w:sz="0" w:space="0" w:color="auto"/>
        <w:right w:val="none" w:sz="0" w:space="0" w:color="auto"/>
      </w:divBdr>
    </w:div>
    <w:div w:id="1995792810">
      <w:bodyDiv w:val="1"/>
      <w:marLeft w:val="0"/>
      <w:marRight w:val="0"/>
      <w:marTop w:val="0"/>
      <w:marBottom w:val="0"/>
      <w:divBdr>
        <w:top w:val="none" w:sz="0" w:space="0" w:color="auto"/>
        <w:left w:val="none" w:sz="0" w:space="0" w:color="auto"/>
        <w:bottom w:val="none" w:sz="0" w:space="0" w:color="auto"/>
        <w:right w:val="none" w:sz="0" w:space="0" w:color="auto"/>
      </w:divBdr>
    </w:div>
    <w:div w:id="2003313104">
      <w:bodyDiv w:val="1"/>
      <w:marLeft w:val="0"/>
      <w:marRight w:val="0"/>
      <w:marTop w:val="0"/>
      <w:marBottom w:val="0"/>
      <w:divBdr>
        <w:top w:val="none" w:sz="0" w:space="0" w:color="auto"/>
        <w:left w:val="none" w:sz="0" w:space="0" w:color="auto"/>
        <w:bottom w:val="none" w:sz="0" w:space="0" w:color="auto"/>
        <w:right w:val="none" w:sz="0" w:space="0" w:color="auto"/>
      </w:divBdr>
    </w:div>
    <w:div w:id="2095742700">
      <w:bodyDiv w:val="1"/>
      <w:marLeft w:val="0"/>
      <w:marRight w:val="0"/>
      <w:marTop w:val="0"/>
      <w:marBottom w:val="0"/>
      <w:divBdr>
        <w:top w:val="none" w:sz="0" w:space="0" w:color="auto"/>
        <w:left w:val="none" w:sz="0" w:space="0" w:color="auto"/>
        <w:bottom w:val="none" w:sz="0" w:space="0" w:color="auto"/>
        <w:right w:val="none" w:sz="0" w:space="0" w:color="auto"/>
      </w:divBdr>
    </w:div>
    <w:div w:id="214364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ishopg.ac.uk" TargetMode="External"/><Relationship Id="rId18" Type="http://schemas.openxmlformats.org/officeDocument/2006/relationships/hyperlink" Target="http://www.bishopg.ac.uk" TargetMode="External"/><Relationship Id="rId3" Type="http://schemas.openxmlformats.org/officeDocument/2006/relationships/customXml" Target="../customXml/item3.xml"/><Relationship Id="rId21" Type="http://schemas.openxmlformats.org/officeDocument/2006/relationships/hyperlink" Target="mailto:jez@weareshootingstar.co.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bishopg.ac.uk/nss" TargetMode="External"/><Relationship Id="rId2" Type="http://schemas.openxmlformats.org/officeDocument/2006/relationships/customXml" Target="../customXml/item2.xml"/><Relationship Id="rId16" Type="http://schemas.openxmlformats.org/officeDocument/2006/relationships/hyperlink" Target="http://www.bishopg.ac.uk/employability" TargetMode="External"/><Relationship Id="rId20" Type="http://schemas.openxmlformats.org/officeDocument/2006/relationships/hyperlink" Target="http://www.hefce.ac.uk/lt/te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ishopg.ac.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lincoln.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ncoln.ac.uk" TargetMode="External"/><Relationship Id="rId22" Type="http://schemas.openxmlformats.org/officeDocument/2006/relationships/hyperlink" Target="mailto:irichards@lincol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7" ma:contentTypeDescription="Create a new document." ma:contentTypeScope="" ma:versionID="37f14fe2d23bd816ff950a36e325d56c">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39a33a000e8c40527ff81ec7975838bd"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2A710-6DC5-472B-9CCA-56BC19BFB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EAE9FF-3BF4-40A3-8AC2-490B780B18C8}">
  <ds:schemaRefs>
    <ds:schemaRef ds:uri="http://schemas.microsoft.com/sharepoint/v3/contenttype/forms"/>
  </ds:schemaRefs>
</ds:datastoreItem>
</file>

<file path=customXml/itemProps3.xml><?xml version="1.0" encoding="utf-8"?>
<ds:datastoreItem xmlns:ds="http://schemas.openxmlformats.org/officeDocument/2006/customXml" ds:itemID="{B0D89076-51F7-454C-B4E3-56FDDCB832B1}">
  <ds:schemaRefs>
    <ds:schemaRef ds:uri="6de952fb-994f-4cef-bf88-d9a2a2d17181"/>
    <ds:schemaRef ds:uri="http://schemas.microsoft.com/office/2006/metadata/properties"/>
    <ds:schemaRef ds:uri="2418888d-c707-4b41-8b7b-7958bc18b2e9"/>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03AAF3AD-682B-4D6E-B40D-A57ADF3DA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Bishop Grosseteste University College Lincoln</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dc:creator>
  <cp:keywords/>
  <cp:lastModifiedBy>Jez Ashberry</cp:lastModifiedBy>
  <cp:revision>10</cp:revision>
  <cp:lastPrinted>2017-05-30T12:45:00Z</cp:lastPrinted>
  <dcterms:created xsi:type="dcterms:W3CDTF">2017-06-21T13:53:00Z</dcterms:created>
  <dcterms:modified xsi:type="dcterms:W3CDTF">2017-06-21T15:49:00Z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