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29EA9DE" w14:textId="77777777" w:rsidR="00BC4323" w:rsidRPr="00D4728F" w:rsidRDefault="00BC4323">
      <w:pPr>
        <w:pStyle w:val="Normal1"/>
        <w:jc w:val="right"/>
        <w:rPr>
          <w:color w:val="auto"/>
        </w:rPr>
      </w:pPr>
    </w:p>
    <w:p w14:paraId="229EA9DF" w14:textId="77777777" w:rsidR="00BC4323" w:rsidRPr="00D4728F" w:rsidRDefault="00D4728F">
      <w:pPr>
        <w:pStyle w:val="Normal1"/>
        <w:spacing w:after="0" w:line="360" w:lineRule="auto"/>
        <w:rPr>
          <w:color w:val="auto"/>
        </w:rPr>
      </w:pPr>
      <w:r w:rsidRPr="00D4728F">
        <w:rPr>
          <w:rFonts w:ascii="Arial" w:eastAsia="Arial" w:hAnsi="Arial" w:cs="Arial"/>
          <w:b/>
          <w:color w:val="auto"/>
        </w:rPr>
        <w:t>Communiqué de presse</w:t>
      </w:r>
    </w:p>
    <w:p w14:paraId="229EA9E0" w14:textId="77777777" w:rsidR="00BC4323" w:rsidRPr="00D4728F" w:rsidRDefault="00BC4323">
      <w:pPr>
        <w:pStyle w:val="Normal1"/>
        <w:spacing w:after="0" w:line="360" w:lineRule="auto"/>
        <w:rPr>
          <w:color w:val="auto"/>
        </w:rPr>
      </w:pPr>
    </w:p>
    <w:p w14:paraId="229EA9E1" w14:textId="15CA2172" w:rsidR="00BC4323" w:rsidRPr="00D4728F" w:rsidRDefault="00302C19">
      <w:pPr>
        <w:pStyle w:val="Normal1"/>
        <w:spacing w:after="0" w:line="360" w:lineRule="auto"/>
        <w:rPr>
          <w:color w:val="auto"/>
        </w:rPr>
      </w:pPr>
      <w:r>
        <w:rPr>
          <w:rFonts w:ascii="Arial" w:eastAsia="Arial" w:hAnsi="Arial" w:cs="Arial"/>
          <w:color w:val="auto"/>
        </w:rPr>
        <w:t>19 janvier 2017</w:t>
      </w:r>
      <w:r w:rsidR="00D4728F" w:rsidRPr="00D4728F">
        <w:rPr>
          <w:rFonts w:ascii="Arial" w:eastAsia="Arial" w:hAnsi="Arial" w:cs="Arial"/>
          <w:color w:val="auto"/>
        </w:rPr>
        <w:t xml:space="preserve"> </w:t>
      </w:r>
    </w:p>
    <w:p w14:paraId="229EA9E2" w14:textId="77777777" w:rsidR="00BC4323" w:rsidRPr="00D4728F" w:rsidRDefault="00BC4323">
      <w:pPr>
        <w:pStyle w:val="Normal1"/>
        <w:spacing w:after="0" w:line="360" w:lineRule="auto"/>
        <w:jc w:val="center"/>
        <w:rPr>
          <w:color w:val="auto"/>
        </w:rPr>
      </w:pPr>
    </w:p>
    <w:p w14:paraId="229EA9E3" w14:textId="77777777" w:rsidR="00BC4323" w:rsidRPr="00D4728F" w:rsidRDefault="00D4728F">
      <w:pPr>
        <w:pStyle w:val="Normal1"/>
        <w:spacing w:after="0" w:line="360" w:lineRule="auto"/>
        <w:jc w:val="center"/>
        <w:rPr>
          <w:color w:val="auto"/>
        </w:rPr>
      </w:pPr>
      <w:r w:rsidRPr="00D4728F">
        <w:rPr>
          <w:rFonts w:ascii="Arial" w:eastAsia="Arial" w:hAnsi="Arial" w:cs="Arial"/>
          <w:b/>
          <w:color w:val="auto"/>
          <w:sz w:val="28"/>
          <w:szCs w:val="28"/>
        </w:rPr>
        <w:t>Limitez le Gaspillage des Biens Consommables avec le ToolBox de CribMaster</w:t>
      </w:r>
    </w:p>
    <w:p w14:paraId="229EA9E4" w14:textId="77777777" w:rsidR="00BC4323" w:rsidRPr="00D4728F" w:rsidRDefault="00BC4323">
      <w:pPr>
        <w:pStyle w:val="Normal1"/>
        <w:spacing w:after="0" w:line="360" w:lineRule="auto"/>
        <w:jc w:val="center"/>
        <w:rPr>
          <w:color w:val="auto"/>
        </w:rPr>
      </w:pPr>
    </w:p>
    <w:p w14:paraId="229EA9E5" w14:textId="11667D34" w:rsidR="00BC4323" w:rsidRPr="00D4728F" w:rsidRDefault="00D4728F">
      <w:pPr>
        <w:pStyle w:val="Normal1"/>
        <w:spacing w:after="0" w:line="360" w:lineRule="auto"/>
        <w:rPr>
          <w:color w:val="auto"/>
        </w:rPr>
      </w:pPr>
      <w:bookmarkStart w:id="0" w:name="_GoBack"/>
      <w:bookmarkEnd w:id="0"/>
      <w:r w:rsidRPr="00302C19">
        <w:rPr>
          <w:rFonts w:ascii="Arial" w:eastAsia="Arial" w:hAnsi="Arial" w:cs="Arial"/>
          <w:b/>
          <w:color w:val="auto"/>
        </w:rPr>
        <w:t xml:space="preserve">Le ToolBox de </w:t>
      </w:r>
      <w:hyperlink r:id="rId9" w:history="1">
        <w:r w:rsidRPr="00302C19">
          <w:rPr>
            <w:rStyle w:val="Hyperlink"/>
            <w:rFonts w:ascii="Arial" w:eastAsia="Arial" w:hAnsi="Arial" w:cs="Arial"/>
            <w:b/>
          </w:rPr>
          <w:t>CribMaster</w:t>
        </w:r>
      </w:hyperlink>
      <w:r w:rsidRPr="00302C19">
        <w:rPr>
          <w:rFonts w:ascii="Arial" w:eastAsia="Arial" w:hAnsi="Arial" w:cs="Arial"/>
          <w:b/>
          <w:color w:val="auto"/>
        </w:rPr>
        <w:t xml:space="preserve"> offre un système de distribution durable sur le lieu de travail</w:t>
      </w:r>
      <w:r w:rsidRPr="00D4728F">
        <w:rPr>
          <w:rFonts w:ascii="Arial" w:eastAsia="Arial" w:hAnsi="Arial" w:cs="Arial"/>
          <w:b/>
          <w:color w:val="auto"/>
        </w:rPr>
        <w:t xml:space="preserve"> pour aider les fabricants à gérer leurs stocks d’outils de coupe, de MRE (Maintenance, Réparation et Exploitation), d’EPP (Equipement de Protection Personnelle), de biens consommables ou d’autres types de matériel.</w:t>
      </w:r>
    </w:p>
    <w:p w14:paraId="229EA9E6" w14:textId="77777777" w:rsidR="00BC4323" w:rsidRPr="00D4728F" w:rsidRDefault="00BC4323">
      <w:pPr>
        <w:pStyle w:val="Normal1"/>
        <w:spacing w:after="0" w:line="360" w:lineRule="auto"/>
        <w:rPr>
          <w:color w:val="auto"/>
        </w:rPr>
      </w:pPr>
    </w:p>
    <w:p w14:paraId="229EA9E7" w14:textId="77777777" w:rsidR="00BC4323" w:rsidRPr="00D4728F" w:rsidRDefault="00D4728F">
      <w:pPr>
        <w:pStyle w:val="Normal1"/>
        <w:spacing w:after="0" w:line="360" w:lineRule="auto"/>
        <w:rPr>
          <w:color w:val="auto"/>
        </w:rPr>
      </w:pPr>
      <w:r w:rsidRPr="00D4728F">
        <w:rPr>
          <w:rFonts w:ascii="Arial" w:eastAsia="Arial" w:hAnsi="Arial" w:cs="Arial"/>
          <w:color w:val="auto"/>
        </w:rPr>
        <w:t>Le coût du gaspillage - qu’il s’agisse de temps perdu ou de matériaux gâchés - est une préoccupation importante pour les sites de production. CribMaster aide ses clients à gérer leurs stocks de manière plus efficace, assurant le contrôle des coûts pendant que l’opérationnel fonctionne parfaitement.</w:t>
      </w:r>
    </w:p>
    <w:p w14:paraId="229EA9E8" w14:textId="77777777" w:rsidR="00BC4323" w:rsidRPr="00D4728F" w:rsidRDefault="00BC4323">
      <w:pPr>
        <w:pStyle w:val="Normal1"/>
        <w:spacing w:after="0" w:line="360" w:lineRule="auto"/>
        <w:rPr>
          <w:color w:val="auto"/>
        </w:rPr>
      </w:pPr>
    </w:p>
    <w:p w14:paraId="229EA9E9" w14:textId="77777777" w:rsidR="00BC4323" w:rsidRPr="00D4728F" w:rsidRDefault="00D4728F">
      <w:pPr>
        <w:pStyle w:val="Normal1"/>
        <w:spacing w:after="0" w:line="360" w:lineRule="auto"/>
        <w:rPr>
          <w:color w:val="auto"/>
        </w:rPr>
      </w:pPr>
      <w:r w:rsidRPr="00D4728F">
        <w:rPr>
          <w:rFonts w:ascii="Arial" w:eastAsia="Arial" w:hAnsi="Arial" w:cs="Arial"/>
          <w:color w:val="auto"/>
        </w:rPr>
        <w:t>Le ToolBox est à la base de toutes les solutions classiques de distribution de CribMaster. Il est idéal pour distribuer des stocks de biens consommables à usage fréquent grâce à sa structure flexible en forme de spirale.</w:t>
      </w:r>
    </w:p>
    <w:p w14:paraId="229EA9EA" w14:textId="77777777" w:rsidR="00BC4323" w:rsidRPr="00D4728F" w:rsidRDefault="00BC4323">
      <w:pPr>
        <w:pStyle w:val="Normal1"/>
        <w:spacing w:after="0" w:line="360" w:lineRule="auto"/>
        <w:rPr>
          <w:color w:val="auto"/>
        </w:rPr>
      </w:pPr>
    </w:p>
    <w:p w14:paraId="229EA9EB" w14:textId="77777777" w:rsidR="00BC4323" w:rsidRPr="00D4728F" w:rsidRDefault="00D4728F">
      <w:pPr>
        <w:pStyle w:val="Normal1"/>
        <w:spacing w:after="0" w:line="360" w:lineRule="auto"/>
        <w:rPr>
          <w:color w:val="auto"/>
        </w:rPr>
      </w:pPr>
      <w:r w:rsidRPr="00D4728F">
        <w:rPr>
          <w:rFonts w:ascii="Arial" w:eastAsia="Arial" w:hAnsi="Arial" w:cs="Arial"/>
          <w:color w:val="auto"/>
        </w:rPr>
        <w:t>Michele Salimbeni-Schnoll, Chef de Produit chez CribMaster, confirme: “Dirigé par notre logiciel de gestion des stocks, cet appareil hautement sécurisé aide les fabricants à réduire le gaspillage, baisser les coûts et améliorer la productivité.</w:t>
      </w:r>
    </w:p>
    <w:p w14:paraId="229EA9EC" w14:textId="77777777" w:rsidR="00BC4323" w:rsidRPr="00D4728F" w:rsidRDefault="00BC4323">
      <w:pPr>
        <w:pStyle w:val="Normal1"/>
        <w:spacing w:after="0" w:line="360" w:lineRule="auto"/>
        <w:rPr>
          <w:color w:val="auto"/>
        </w:rPr>
      </w:pPr>
    </w:p>
    <w:p w14:paraId="229EA9ED" w14:textId="77777777" w:rsidR="00BC4323" w:rsidRPr="00D4728F" w:rsidRDefault="00D4728F">
      <w:pPr>
        <w:pStyle w:val="Normal1"/>
        <w:spacing w:after="0" w:line="360" w:lineRule="auto"/>
        <w:rPr>
          <w:color w:val="auto"/>
        </w:rPr>
      </w:pPr>
      <w:r w:rsidRPr="00D4728F">
        <w:rPr>
          <w:rFonts w:ascii="Arial" w:eastAsia="Arial" w:hAnsi="Arial" w:cs="Arial"/>
          <w:color w:val="auto"/>
        </w:rPr>
        <w:t>La structure flexible en forme de spirale offre un vaste espace de stockage. Celle-ci peut être facilement reconfigurée ou agrandie sans problème avec l’ajout d’unités auxiliaires pour accompagner le développement d’un site.”</w:t>
      </w:r>
    </w:p>
    <w:p w14:paraId="229EA9EE" w14:textId="77777777" w:rsidR="00BC4323" w:rsidRPr="00D4728F" w:rsidRDefault="00BC4323">
      <w:pPr>
        <w:pStyle w:val="Normal1"/>
        <w:spacing w:after="0" w:line="360" w:lineRule="auto"/>
        <w:rPr>
          <w:color w:val="auto"/>
        </w:rPr>
      </w:pPr>
    </w:p>
    <w:p w14:paraId="229EA9EF" w14:textId="77777777" w:rsidR="00BC4323" w:rsidRPr="00D4728F" w:rsidRDefault="00D4728F">
      <w:pPr>
        <w:pStyle w:val="Normal1"/>
        <w:spacing w:after="0" w:line="360" w:lineRule="auto"/>
        <w:rPr>
          <w:color w:val="auto"/>
        </w:rPr>
      </w:pPr>
      <w:r w:rsidRPr="00D4728F">
        <w:rPr>
          <w:rFonts w:ascii="Arial" w:eastAsia="Arial" w:hAnsi="Arial" w:cs="Arial"/>
          <w:color w:val="auto"/>
        </w:rPr>
        <w:t xml:space="preserve">Le ToolBox offre de multiples façons de se connecter par un écran tactile, facilitant l’identification des employés. En utilisant des champs définis en fonction de l’utilisateur comme </w:t>
      </w:r>
      <w:r w:rsidRPr="00D4728F">
        <w:rPr>
          <w:rFonts w:ascii="Arial" w:eastAsia="Arial" w:hAnsi="Arial" w:cs="Arial"/>
          <w:color w:val="auto"/>
        </w:rPr>
        <w:lastRenderedPageBreak/>
        <w:t xml:space="preserve">le service ou le titre du poste, d’autres possibilités de réduction des coûts peuvent être identifiées et mises en place. </w:t>
      </w:r>
    </w:p>
    <w:p w14:paraId="229EA9F0" w14:textId="77777777" w:rsidR="00BC4323" w:rsidRPr="00D4728F" w:rsidRDefault="00BC4323">
      <w:pPr>
        <w:pStyle w:val="Normal1"/>
        <w:spacing w:after="0" w:line="360" w:lineRule="auto"/>
        <w:rPr>
          <w:color w:val="auto"/>
        </w:rPr>
      </w:pPr>
    </w:p>
    <w:p w14:paraId="229EA9F1" w14:textId="77777777" w:rsidR="00BC4323" w:rsidRPr="00D4728F" w:rsidRDefault="00D4728F">
      <w:pPr>
        <w:pStyle w:val="Normal1"/>
        <w:spacing w:after="0" w:line="360" w:lineRule="auto"/>
        <w:rPr>
          <w:color w:val="auto"/>
        </w:rPr>
      </w:pPr>
      <w:r w:rsidRPr="00D4728F">
        <w:rPr>
          <w:rFonts w:ascii="Arial" w:eastAsia="Arial" w:hAnsi="Arial" w:cs="Arial"/>
          <w:color w:val="auto"/>
        </w:rPr>
        <w:t>Le ToolBox peut être associé à d’autres distributeurs automatiques de CribMaster et peut être utilisé comme unité principale ou auxiliaire.</w:t>
      </w:r>
    </w:p>
    <w:p w14:paraId="229EA9F2" w14:textId="77777777" w:rsidR="00BC4323" w:rsidRPr="00D4728F" w:rsidRDefault="00BC4323">
      <w:pPr>
        <w:pStyle w:val="Normal1"/>
        <w:spacing w:after="0" w:line="360" w:lineRule="auto"/>
        <w:rPr>
          <w:color w:val="auto"/>
        </w:rPr>
      </w:pPr>
    </w:p>
    <w:p w14:paraId="229EA9F3" w14:textId="77777777" w:rsidR="00BC4323" w:rsidRPr="00D4728F" w:rsidRDefault="00D4728F">
      <w:pPr>
        <w:pStyle w:val="Normal1"/>
        <w:spacing w:after="0" w:line="360" w:lineRule="auto"/>
        <w:rPr>
          <w:color w:val="auto"/>
        </w:rPr>
      </w:pPr>
      <w:bookmarkStart w:id="1" w:name="h.grbm5x9xcm0f" w:colFirst="0" w:colLast="0"/>
      <w:bookmarkStart w:id="2" w:name="h.gjdgxs" w:colFirst="0" w:colLast="0"/>
      <w:bookmarkEnd w:id="1"/>
      <w:bookmarkEnd w:id="2"/>
      <w:r w:rsidRPr="00D4728F">
        <w:rPr>
          <w:rFonts w:ascii="Arial" w:eastAsia="Arial" w:hAnsi="Arial" w:cs="Arial"/>
          <w:color w:val="auto"/>
        </w:rPr>
        <w:t>Le distributeur Express ToolBox est une version simplifiée du ToolBox. Il procure des fonctionnalités essentielles tout en assurant la sécurité, une distribution contrôlée et un suivi de données en temps réel.</w:t>
      </w:r>
    </w:p>
    <w:p w14:paraId="229EA9F4" w14:textId="77777777" w:rsidR="00BC4323" w:rsidRPr="00D4728F" w:rsidRDefault="00BC4323">
      <w:pPr>
        <w:pStyle w:val="Normal1"/>
        <w:spacing w:after="0" w:line="360" w:lineRule="auto"/>
        <w:rPr>
          <w:color w:val="auto"/>
        </w:rPr>
      </w:pPr>
    </w:p>
    <w:p w14:paraId="229EA9F5" w14:textId="77777777" w:rsidR="00BC4323" w:rsidRPr="00D4728F" w:rsidRDefault="00D4728F">
      <w:pPr>
        <w:pStyle w:val="Normal1"/>
        <w:spacing w:after="0" w:line="360" w:lineRule="auto"/>
        <w:rPr>
          <w:color w:val="auto"/>
        </w:rPr>
      </w:pPr>
      <w:r w:rsidRPr="00D4728F">
        <w:rPr>
          <w:rFonts w:ascii="Arial" w:eastAsia="Arial" w:hAnsi="Arial" w:cs="Arial"/>
          <w:color w:val="auto"/>
        </w:rPr>
        <w:t>Le distributeur Express ToolBox fonctionne grâce à une interface clavier facile à utiliser et permettant aux employés d’accéder aux fournitures nécessaires 24 heures sur 24, 7 jours sur 7. Les transactions sont enregistrées automatiquement et permettent un suivi de l’utilisation des fournitures grâce à des centre de coûts pré-déterminés.</w:t>
      </w:r>
    </w:p>
    <w:p w14:paraId="229EA9F6" w14:textId="77777777" w:rsidR="00BC4323" w:rsidRPr="00D4728F" w:rsidRDefault="00BC4323">
      <w:pPr>
        <w:pStyle w:val="Normal1"/>
        <w:spacing w:after="0" w:line="360" w:lineRule="auto"/>
        <w:rPr>
          <w:color w:val="auto"/>
        </w:rPr>
      </w:pPr>
    </w:p>
    <w:p w14:paraId="229EA9F7" w14:textId="77777777" w:rsidR="00BC4323" w:rsidRPr="00D4728F" w:rsidRDefault="00D4728F">
      <w:pPr>
        <w:pStyle w:val="Normal1"/>
        <w:spacing w:after="0" w:line="360" w:lineRule="auto"/>
        <w:rPr>
          <w:color w:val="auto"/>
        </w:rPr>
      </w:pPr>
      <w:r w:rsidRPr="00D4728F">
        <w:rPr>
          <w:rFonts w:ascii="Arial" w:eastAsia="Arial" w:hAnsi="Arial" w:cs="Arial"/>
          <w:color w:val="auto"/>
        </w:rPr>
        <w:t>Michele poursuit: “Les distributeurs ToolBox et ToolBox Express aident les fabricants à réduire le gaspillage de biens consommables à usage fréquent en distribuant les biens un à la fois, quand et où ils sont nécessaires.</w:t>
      </w:r>
    </w:p>
    <w:p w14:paraId="229EA9F8" w14:textId="77777777" w:rsidR="00BC4323" w:rsidRPr="00D4728F" w:rsidRDefault="00BC4323">
      <w:pPr>
        <w:pStyle w:val="Normal1"/>
        <w:spacing w:after="0" w:line="360" w:lineRule="auto"/>
        <w:rPr>
          <w:color w:val="auto"/>
        </w:rPr>
      </w:pPr>
    </w:p>
    <w:p w14:paraId="229EA9F9" w14:textId="77777777" w:rsidR="00BC4323" w:rsidRPr="00D4728F" w:rsidRDefault="00D4728F">
      <w:pPr>
        <w:pStyle w:val="Normal1"/>
        <w:spacing w:after="0" w:line="360" w:lineRule="auto"/>
        <w:rPr>
          <w:color w:val="auto"/>
        </w:rPr>
      </w:pPr>
      <w:r w:rsidRPr="00D4728F">
        <w:rPr>
          <w:rFonts w:ascii="Arial" w:eastAsia="Arial" w:hAnsi="Arial" w:cs="Arial"/>
          <w:color w:val="auto"/>
        </w:rPr>
        <w:t>“En délivrant les fournitures sur leur lieu d’utilisation, nos distributeurs automatiques éliminent les temps de déplacements inutiles pour s’approvisionner en pièces ou équipements.”</w:t>
      </w:r>
    </w:p>
    <w:p w14:paraId="229EA9FA" w14:textId="77777777" w:rsidR="00BC4323" w:rsidRPr="00D4728F" w:rsidRDefault="00BC4323">
      <w:pPr>
        <w:pStyle w:val="Normal1"/>
        <w:spacing w:after="0" w:line="360" w:lineRule="auto"/>
        <w:rPr>
          <w:color w:val="auto"/>
        </w:rPr>
      </w:pPr>
    </w:p>
    <w:p w14:paraId="229EA9FB" w14:textId="77777777" w:rsidR="00BC4323" w:rsidRPr="00D4728F" w:rsidRDefault="00D4728F">
      <w:pPr>
        <w:pStyle w:val="Normal1"/>
        <w:spacing w:after="0" w:line="360" w:lineRule="auto"/>
        <w:rPr>
          <w:color w:val="auto"/>
        </w:rPr>
      </w:pPr>
      <w:r w:rsidRPr="00D4728F">
        <w:rPr>
          <w:rFonts w:ascii="Arial" w:eastAsia="Arial" w:hAnsi="Arial" w:cs="Arial"/>
          <w:color w:val="auto"/>
        </w:rPr>
        <w:t xml:space="preserve">Les distributeurs ToolBox et ToolBox Express sont proposés en configuration de 6 ou 7 étagères. La structure de distribution flexible peut être adaptée aux besoins propres à chaque établissement. </w:t>
      </w:r>
    </w:p>
    <w:p w14:paraId="229EA9FC" w14:textId="77777777" w:rsidR="00BC4323" w:rsidRPr="00D4728F" w:rsidRDefault="00BC4323">
      <w:pPr>
        <w:pStyle w:val="Normal1"/>
        <w:spacing w:after="0" w:line="360" w:lineRule="auto"/>
        <w:rPr>
          <w:color w:val="auto"/>
        </w:rPr>
      </w:pPr>
    </w:p>
    <w:p w14:paraId="229EA9FD" w14:textId="77777777" w:rsidR="00BC4323" w:rsidRPr="00D4728F" w:rsidRDefault="00D4728F">
      <w:pPr>
        <w:pStyle w:val="Normal1"/>
        <w:spacing w:after="0" w:line="360" w:lineRule="auto"/>
        <w:jc w:val="center"/>
        <w:rPr>
          <w:color w:val="auto"/>
        </w:rPr>
      </w:pPr>
      <w:r w:rsidRPr="00D4728F">
        <w:rPr>
          <w:rFonts w:ascii="Arial" w:eastAsia="Arial" w:hAnsi="Arial" w:cs="Arial"/>
          <w:b/>
          <w:color w:val="auto"/>
        </w:rPr>
        <w:t>Fin</w:t>
      </w:r>
    </w:p>
    <w:p w14:paraId="229EA9FE" w14:textId="77777777" w:rsidR="00BC4323" w:rsidRPr="00D4728F" w:rsidRDefault="00D4728F">
      <w:pPr>
        <w:pStyle w:val="Normal1"/>
        <w:spacing w:after="0" w:line="360" w:lineRule="auto"/>
        <w:rPr>
          <w:rFonts w:ascii="Arial" w:hAnsi="Arial" w:cs="Arial"/>
          <w:b/>
          <w:color w:val="auto"/>
        </w:rPr>
      </w:pPr>
      <w:r w:rsidRPr="00D4728F">
        <w:rPr>
          <w:rFonts w:ascii="Arial" w:hAnsi="Arial" w:cs="Arial"/>
          <w:b/>
          <w:color w:val="auto"/>
        </w:rPr>
        <w:t>Notes à la Rédaction</w:t>
      </w:r>
    </w:p>
    <w:p w14:paraId="229EA9FF" w14:textId="77777777" w:rsidR="00BC4323" w:rsidRPr="00D4728F" w:rsidRDefault="00BC4323">
      <w:pPr>
        <w:pStyle w:val="Normal1"/>
        <w:spacing w:after="0" w:line="360" w:lineRule="auto"/>
        <w:rPr>
          <w:color w:val="auto"/>
        </w:rPr>
      </w:pPr>
    </w:p>
    <w:p w14:paraId="229EAA00" w14:textId="77777777" w:rsidR="00BC4323" w:rsidRPr="00D4728F" w:rsidRDefault="00D4728F">
      <w:pPr>
        <w:pStyle w:val="Normal1"/>
        <w:spacing w:after="0" w:line="360" w:lineRule="auto"/>
        <w:rPr>
          <w:color w:val="auto"/>
        </w:rPr>
      </w:pPr>
      <w:r w:rsidRPr="00D4728F">
        <w:rPr>
          <w:rFonts w:ascii="Arial" w:eastAsia="Arial" w:hAnsi="Arial" w:cs="Arial"/>
          <w:b/>
          <w:color w:val="auto"/>
        </w:rPr>
        <w:t>CribMaster </w:t>
      </w:r>
    </w:p>
    <w:p w14:paraId="229EAA01" w14:textId="77777777" w:rsidR="00BC4323" w:rsidRPr="00D4728F" w:rsidRDefault="00D4728F">
      <w:pPr>
        <w:pStyle w:val="Normal1"/>
        <w:spacing w:after="0" w:line="360" w:lineRule="auto"/>
        <w:rPr>
          <w:color w:val="auto"/>
        </w:rPr>
      </w:pPr>
      <w:r w:rsidRPr="00D4728F">
        <w:rPr>
          <w:rFonts w:ascii="Arial" w:eastAsia="Arial" w:hAnsi="Arial" w:cs="Arial"/>
          <w:color w:val="auto"/>
        </w:rPr>
        <w:t xml:space="preserve">CribMaster, une marque de STANLEY, est leader mondial en solutions d’inventaires et de gestion de ressources pour environnements industriels. Les solutions de CribMaster offrent des informations en temps réel permettant aux ressources de parvenir aux bons employés au bon </w:t>
      </w:r>
      <w:r w:rsidRPr="00D4728F">
        <w:rPr>
          <w:rFonts w:ascii="Arial" w:eastAsia="Arial" w:hAnsi="Arial" w:cs="Arial"/>
          <w:color w:val="auto"/>
        </w:rPr>
        <w:lastRenderedPageBreak/>
        <w:t>moment – tout en réduisant les coûts opérationnels, augmentant la productivité et améliorant la conformité à la sécurité. Avec son siège social à Marietta, GA, et ses bureaux en Europe, CribMaster compte aujourd’hui plus de 12.000 clients dans 36 pays. Pour plus d’informations, rendez-vous sur www.cribmaster.eu.</w:t>
      </w:r>
    </w:p>
    <w:p w14:paraId="229EAA02" w14:textId="77777777" w:rsidR="00BC4323" w:rsidRPr="00D4728F" w:rsidRDefault="00302C19">
      <w:pPr>
        <w:pStyle w:val="Normal1"/>
        <w:spacing w:after="0" w:line="360" w:lineRule="auto"/>
        <w:rPr>
          <w:color w:val="auto"/>
        </w:rPr>
      </w:pPr>
      <w:hyperlink r:id="rId10"/>
    </w:p>
    <w:p w14:paraId="229EAA03" w14:textId="77777777" w:rsidR="00BC4323" w:rsidRPr="00D4728F" w:rsidRDefault="00D4728F">
      <w:pPr>
        <w:pStyle w:val="Normal1"/>
        <w:spacing w:after="0" w:line="360" w:lineRule="auto"/>
        <w:rPr>
          <w:rFonts w:ascii="Arial" w:hAnsi="Arial" w:cs="Arial"/>
          <w:b/>
          <w:color w:val="auto"/>
        </w:rPr>
      </w:pPr>
      <w:r w:rsidRPr="00D4728F">
        <w:rPr>
          <w:rFonts w:ascii="Arial" w:hAnsi="Arial" w:cs="Arial"/>
          <w:b/>
          <w:color w:val="auto"/>
        </w:rPr>
        <w:t>Pour plus de renseignements, merci de contacter:</w:t>
      </w:r>
    </w:p>
    <w:p w14:paraId="229EAA04" w14:textId="77777777" w:rsidR="00D4728F" w:rsidRPr="00D4728F" w:rsidRDefault="00D4728F">
      <w:pPr>
        <w:pStyle w:val="Normal1"/>
        <w:spacing w:after="0" w:line="360" w:lineRule="auto"/>
        <w:rPr>
          <w:rFonts w:ascii="Arial" w:hAnsi="Arial" w:cs="Arial"/>
          <w:b/>
          <w:color w:val="auto"/>
        </w:rPr>
      </w:pPr>
    </w:p>
    <w:p w14:paraId="229EAA05" w14:textId="77777777" w:rsidR="00BC4323" w:rsidRPr="00D4728F" w:rsidRDefault="00D4728F">
      <w:pPr>
        <w:pStyle w:val="Normal1"/>
        <w:spacing w:after="0" w:line="360" w:lineRule="auto"/>
        <w:rPr>
          <w:color w:val="auto"/>
        </w:rPr>
      </w:pPr>
      <w:r w:rsidRPr="00D4728F">
        <w:rPr>
          <w:rFonts w:ascii="Arial" w:eastAsia="Arial" w:hAnsi="Arial" w:cs="Arial"/>
          <w:b/>
          <w:color w:val="auto"/>
        </w:rPr>
        <w:t>Sarah-Jane Freni</w:t>
      </w:r>
    </w:p>
    <w:p w14:paraId="229EAA06" w14:textId="77777777" w:rsidR="00BC4323" w:rsidRPr="00D4728F" w:rsidRDefault="00D4728F">
      <w:pPr>
        <w:pStyle w:val="Normal1"/>
        <w:spacing w:after="0" w:line="360" w:lineRule="auto"/>
        <w:rPr>
          <w:color w:val="auto"/>
        </w:rPr>
      </w:pPr>
      <w:r w:rsidRPr="00D4728F">
        <w:rPr>
          <w:rFonts w:ascii="Arial" w:eastAsia="Arial" w:hAnsi="Arial" w:cs="Arial"/>
          <w:b/>
          <w:color w:val="auto"/>
        </w:rPr>
        <w:t>Shooting Star</w:t>
      </w:r>
    </w:p>
    <w:p w14:paraId="229EAA07" w14:textId="77777777" w:rsidR="00BC4323" w:rsidRPr="00D4728F" w:rsidRDefault="00D4728F">
      <w:pPr>
        <w:pStyle w:val="Normal1"/>
        <w:spacing w:after="0" w:line="360" w:lineRule="auto"/>
        <w:rPr>
          <w:color w:val="auto"/>
        </w:rPr>
      </w:pPr>
      <w:r w:rsidRPr="00D4728F">
        <w:rPr>
          <w:rFonts w:ascii="Arial" w:eastAsia="Arial" w:hAnsi="Arial" w:cs="Arial"/>
          <w:b/>
          <w:color w:val="auto"/>
        </w:rPr>
        <w:t>+44 117 313 1120</w:t>
      </w:r>
    </w:p>
    <w:p w14:paraId="229EAA08" w14:textId="77777777" w:rsidR="00BC4323" w:rsidRPr="00D4728F" w:rsidRDefault="00302C19">
      <w:pPr>
        <w:pStyle w:val="Normal1"/>
        <w:spacing w:after="0" w:line="360" w:lineRule="auto"/>
        <w:rPr>
          <w:color w:val="auto"/>
        </w:rPr>
      </w:pPr>
      <w:hyperlink r:id="rId11">
        <w:r w:rsidR="00D4728F" w:rsidRPr="00D4728F">
          <w:rPr>
            <w:rFonts w:ascii="Arial" w:eastAsia="Arial" w:hAnsi="Arial" w:cs="Arial"/>
            <w:b/>
            <w:color w:val="auto"/>
            <w:u w:val="single"/>
          </w:rPr>
          <w:t>sarahjane@weareshootingstar.co.uk</w:t>
        </w:r>
      </w:hyperlink>
      <w:r w:rsidR="00D4728F" w:rsidRPr="00D4728F">
        <w:rPr>
          <w:rFonts w:ascii="Arial" w:eastAsia="Arial" w:hAnsi="Arial" w:cs="Arial"/>
          <w:b/>
          <w:color w:val="auto"/>
        </w:rPr>
        <w:t xml:space="preserve"> </w:t>
      </w:r>
    </w:p>
    <w:p w14:paraId="229EAA09" w14:textId="77777777" w:rsidR="00BC4323" w:rsidRPr="00D4728F" w:rsidRDefault="00D4728F">
      <w:pPr>
        <w:pStyle w:val="Normal1"/>
        <w:spacing w:after="0" w:line="360" w:lineRule="auto"/>
        <w:rPr>
          <w:color w:val="auto"/>
        </w:rPr>
      </w:pPr>
      <w:r w:rsidRPr="00D4728F">
        <w:rPr>
          <w:rFonts w:ascii="Arial" w:eastAsia="Arial" w:hAnsi="Arial" w:cs="Arial"/>
          <w:b/>
          <w:color w:val="auto"/>
        </w:rPr>
        <w:t>[CribMaster06ToolBoxFR]</w:t>
      </w:r>
    </w:p>
    <w:p w14:paraId="229EAA0A" w14:textId="77777777" w:rsidR="00BC4323" w:rsidRPr="00D4728F" w:rsidRDefault="00BC4323">
      <w:pPr>
        <w:pStyle w:val="Normal1"/>
        <w:rPr>
          <w:color w:val="auto"/>
        </w:rPr>
      </w:pPr>
    </w:p>
    <w:sectPr w:rsidR="00BC4323" w:rsidRPr="00D4728F">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EAA0D" w14:textId="77777777" w:rsidR="00B83E8A" w:rsidRDefault="00D4728F">
      <w:pPr>
        <w:spacing w:after="0" w:line="240" w:lineRule="auto"/>
      </w:pPr>
      <w:r>
        <w:separator/>
      </w:r>
    </w:p>
  </w:endnote>
  <w:endnote w:type="continuationSeparator" w:id="0">
    <w:p w14:paraId="229EAA0E" w14:textId="77777777" w:rsidR="00B83E8A" w:rsidRDefault="00D47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EAA0B" w14:textId="77777777" w:rsidR="00B83E8A" w:rsidRDefault="00D4728F">
      <w:pPr>
        <w:spacing w:after="0" w:line="240" w:lineRule="auto"/>
      </w:pPr>
      <w:r>
        <w:separator/>
      </w:r>
    </w:p>
  </w:footnote>
  <w:footnote w:type="continuationSeparator" w:id="0">
    <w:p w14:paraId="229EAA0C" w14:textId="77777777" w:rsidR="00B83E8A" w:rsidRDefault="00D472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EAA0F" w14:textId="77777777" w:rsidR="00BC4323" w:rsidRDefault="00D4728F">
    <w:pPr>
      <w:pStyle w:val="Normal1"/>
      <w:tabs>
        <w:tab w:val="center" w:pos="4513"/>
        <w:tab w:val="right" w:pos="9026"/>
      </w:tabs>
      <w:spacing w:before="720" w:after="0" w:line="240" w:lineRule="auto"/>
    </w:pPr>
    <w:r>
      <w:rPr>
        <w:noProof/>
        <w:lang w:val="en-US"/>
      </w:rPr>
      <w:drawing>
        <wp:anchor distT="0" distB="0" distL="114300" distR="114300" simplePos="0" relativeHeight="251658240" behindDoc="0" locked="0" layoutInCell="0" hidden="0" allowOverlap="1" wp14:anchorId="229EAA10" wp14:editId="229EAA11">
          <wp:simplePos x="0" y="0"/>
          <wp:positionH relativeFrom="margin">
            <wp:posOffset>-468921</wp:posOffset>
          </wp:positionH>
          <wp:positionV relativeFrom="paragraph">
            <wp:posOffset>-140481</wp:posOffset>
          </wp:positionV>
          <wp:extent cx="6858000" cy="429768"/>
          <wp:effectExtent l="0" t="0" r="0" b="0"/>
          <wp:wrapSquare wrapText="bothSides" distT="0" distB="0" distL="114300" distR="11430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
                  <a:srcRect/>
                  <a:stretch>
                    <a:fillRect/>
                  </a:stretch>
                </pic:blipFill>
                <pic:spPr>
                  <a:xfrm>
                    <a:off x="0" y="0"/>
                    <a:ext cx="6858000" cy="429768"/>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C4323"/>
    <w:rsid w:val="00302C19"/>
    <w:rsid w:val="00B83E8A"/>
    <w:rsid w:val="00BC4323"/>
    <w:rsid w:val="00D4728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9EA9DE"/>
  <w15:docId w15:val="{83BAA453-8A2F-4DBC-A2CA-6D6FE039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sz w:val="24"/>
      <w:szCs w:val="24"/>
    </w:rPr>
  </w:style>
  <w:style w:type="paragraph" w:styleId="Heading5">
    <w:name w:val="heading 5"/>
    <w:basedOn w:val="Normal1"/>
    <w:next w:val="Normal1"/>
    <w:pPr>
      <w:keepNext/>
      <w:keepLines/>
      <w:spacing w:before="220" w:after="40"/>
      <w:contextualSpacing/>
      <w:outlineLvl w:val="4"/>
    </w:pPr>
    <w:rPr>
      <w:b/>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302C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rahjane@weareshootingstar.co.uk" TargetMode="External"/><Relationship Id="rId5" Type="http://schemas.openxmlformats.org/officeDocument/2006/relationships/settings" Target="settings.xml"/><Relationship Id="rId10" Type="http://schemas.openxmlformats.org/officeDocument/2006/relationships/hyperlink" Target="http://www.cribmaster.eu" TargetMode="External"/><Relationship Id="rId4" Type="http://schemas.openxmlformats.org/officeDocument/2006/relationships/styles" Target="styles.xml"/><Relationship Id="rId9" Type="http://schemas.openxmlformats.org/officeDocument/2006/relationships/hyperlink" Target="http://www.cribmaster.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 ma:contentTypeDescription="Create a new document." ma:contentTypeScope="" ma:versionID="6da062a85c2d9ad9a92ebf73e110ce12">
  <xsd:schema xmlns:xsd="http://www.w3.org/2001/XMLSchema" xmlns:xs="http://www.w3.org/2001/XMLSchema" xmlns:p="http://schemas.microsoft.com/office/2006/metadata/properties" xmlns:ns2="6de952fb-994f-4cef-bf88-d9a2a2d17181" targetNamespace="http://schemas.microsoft.com/office/2006/metadata/properties" ma:root="true" ma:fieldsID="21127c769563113b72db3b82a496107f" ns2:_="">
    <xsd:import namespace="6de952fb-994f-4cef-bf88-d9a2a2d1718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1BDFCD-F8F5-45AE-89ED-6F5BD81C4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223A0D-A078-43A2-97E1-EFADF881880B}">
  <ds:schemaRefs>
    <ds:schemaRef ds:uri="http://purl.org/dc/elements/1.1/"/>
    <ds:schemaRef ds:uri="http://purl.org/dc/dcmitype/"/>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6de952fb-994f-4cef-bf88-d9a2a2d17181"/>
    <ds:schemaRef ds:uri="http://www.w3.org/XML/1998/namespace"/>
  </ds:schemaRefs>
</ds:datastoreItem>
</file>

<file path=customXml/itemProps3.xml><?xml version="1.0" encoding="utf-8"?>
<ds:datastoreItem xmlns:ds="http://schemas.openxmlformats.org/officeDocument/2006/customXml" ds:itemID="{A2345C28-9DCB-42A5-AA91-46050EEB3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590</Words>
  <Characters>3364</Characters>
  <Application>Microsoft Office Word</Application>
  <DocSecurity>0</DocSecurity>
  <Lines>28</Lines>
  <Paragraphs>7</Paragraphs>
  <ScaleCrop>false</ScaleCrop>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Jane</cp:lastModifiedBy>
  <cp:revision>3</cp:revision>
  <dcterms:created xsi:type="dcterms:W3CDTF">2016-08-12T08:56:00Z</dcterms:created>
  <dcterms:modified xsi:type="dcterms:W3CDTF">2017-01-18T16:28:00Z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